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D8" w:rsidRDefault="00483FD8" w:rsidP="00483FD8">
      <w:pPr>
        <w:pStyle w:val="a5"/>
        <w:jc w:val="center"/>
        <w:rPr>
          <w:b/>
          <w:bCs/>
        </w:rPr>
      </w:pPr>
    </w:p>
    <w:p w:rsidR="00483FD8" w:rsidRDefault="00483FD8" w:rsidP="00483FD8">
      <w:pPr>
        <w:pStyle w:val="a5"/>
        <w:jc w:val="center"/>
        <w:rPr>
          <w:b/>
          <w:bCs/>
        </w:rPr>
      </w:pPr>
    </w:p>
    <w:p w:rsidR="00483FD8" w:rsidRDefault="00483FD8" w:rsidP="00483FD8">
      <w:pPr>
        <w:pStyle w:val="a5"/>
        <w:jc w:val="center"/>
        <w:rPr>
          <w:b/>
          <w:bCs/>
        </w:rPr>
      </w:pPr>
    </w:p>
    <w:p w:rsidR="00483FD8" w:rsidRDefault="00483FD8" w:rsidP="00483FD8">
      <w:pPr>
        <w:pStyle w:val="a5"/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-588645</wp:posOffset>
            </wp:positionV>
            <wp:extent cx="572770" cy="692150"/>
            <wp:effectExtent l="19050" t="0" r="0" b="0"/>
            <wp:wrapSquare wrapText="larges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83FD8" w:rsidRDefault="00483FD8" w:rsidP="00483FD8">
      <w:pPr>
        <w:pStyle w:val="a5"/>
        <w:jc w:val="center"/>
      </w:pPr>
      <w:r>
        <w:rPr>
          <w:b/>
          <w:bCs/>
        </w:rPr>
        <w:t>КОНТРОЛЬНО-СЧЕТНАЯ ПАЛАТА</w:t>
      </w:r>
    </w:p>
    <w:p w:rsidR="00483FD8" w:rsidRDefault="00483FD8" w:rsidP="00483FD8">
      <w:pPr>
        <w:pStyle w:val="a5"/>
        <w:jc w:val="center"/>
        <w:rPr>
          <w:b/>
          <w:bCs/>
        </w:rPr>
      </w:pPr>
      <w:r>
        <w:rPr>
          <w:b/>
          <w:bCs/>
        </w:rPr>
        <w:t>ФРОЛОВСКОГО МУНИЦИПАЛЬНОГО РАЙОНА</w:t>
      </w:r>
    </w:p>
    <w:p w:rsidR="00483FD8" w:rsidRDefault="00483FD8" w:rsidP="00483FD8">
      <w:pPr>
        <w:pStyle w:val="a5"/>
        <w:jc w:val="center"/>
      </w:pPr>
      <w:r>
        <w:rPr>
          <w:b/>
          <w:bCs/>
        </w:rPr>
        <w:t>ВОЛГОГРАДСКОЙ ОБЛАСТИ</w:t>
      </w:r>
    </w:p>
    <w:p w:rsidR="00483FD8" w:rsidRDefault="00483FD8" w:rsidP="00483FD8">
      <w:pPr>
        <w:pStyle w:val="a5"/>
        <w:jc w:val="center"/>
      </w:pPr>
      <w:r>
        <w:t xml:space="preserve">403518    </w:t>
      </w:r>
      <w:proofErr w:type="spellStart"/>
      <w:r>
        <w:t>Фроловский</w:t>
      </w:r>
      <w:proofErr w:type="spellEnd"/>
      <w:r>
        <w:t xml:space="preserve"> район, пос. Пригородный, ул. 40 Лет Октября, д. 336/3,</w:t>
      </w:r>
    </w:p>
    <w:p w:rsidR="00483FD8" w:rsidRDefault="00483FD8" w:rsidP="00483FD8">
      <w:pPr>
        <w:pStyle w:val="a5"/>
      </w:pPr>
      <w:r>
        <w:t xml:space="preserve">_____________________________________________________________________________                     </w:t>
      </w:r>
    </w:p>
    <w:p w:rsidR="00483FD8" w:rsidRDefault="00483FD8" w:rsidP="00483FD8">
      <w:pPr>
        <w:pStyle w:val="a5"/>
      </w:pPr>
      <w:r>
        <w:rPr>
          <w:b/>
        </w:rPr>
        <w:t xml:space="preserve"> </w:t>
      </w:r>
      <w:r w:rsidRPr="00103972">
        <w:rPr>
          <w:bCs/>
        </w:rPr>
        <w:t xml:space="preserve">от </w:t>
      </w:r>
      <w:r>
        <w:rPr>
          <w:bCs/>
        </w:rPr>
        <w:t>16</w:t>
      </w:r>
      <w:r w:rsidRPr="00103972">
        <w:rPr>
          <w:bCs/>
        </w:rPr>
        <w:t>.02.202</w:t>
      </w:r>
      <w:r>
        <w:rPr>
          <w:bCs/>
        </w:rPr>
        <w:t>3</w:t>
      </w:r>
      <w:r w:rsidRPr="00103972">
        <w:rPr>
          <w:bCs/>
        </w:rPr>
        <w:t xml:space="preserve"> года                                                                                          </w:t>
      </w:r>
      <w:proofErr w:type="gramStart"/>
      <w:r>
        <w:rPr>
          <w:bCs/>
        </w:rPr>
        <w:t>х</w:t>
      </w:r>
      <w:proofErr w:type="gramEnd"/>
      <w:r>
        <w:rPr>
          <w:bCs/>
        </w:rPr>
        <w:t xml:space="preserve">. Большой </w:t>
      </w:r>
      <w:proofErr w:type="spellStart"/>
      <w:r>
        <w:rPr>
          <w:bCs/>
        </w:rPr>
        <w:t>Лычак</w:t>
      </w:r>
      <w:proofErr w:type="spellEnd"/>
      <w:r>
        <w:rPr>
          <w:bCs/>
        </w:rPr>
        <w:t xml:space="preserve">                                                          </w:t>
      </w:r>
    </w:p>
    <w:p w:rsidR="00483FD8" w:rsidRDefault="00483FD8" w:rsidP="00483FD8">
      <w:pPr>
        <w:pStyle w:val="a5"/>
        <w:jc w:val="center"/>
        <w:rPr>
          <w:b/>
          <w:bCs/>
          <w:i/>
          <w:sz w:val="28"/>
          <w:szCs w:val="28"/>
        </w:rPr>
      </w:pPr>
    </w:p>
    <w:p w:rsidR="00483FD8" w:rsidRDefault="00483FD8" w:rsidP="00483FD8">
      <w:pPr>
        <w:pStyle w:val="a5"/>
        <w:jc w:val="center"/>
        <w:rPr>
          <w:b/>
          <w:i/>
        </w:rPr>
      </w:pPr>
      <w:r>
        <w:rPr>
          <w:b/>
          <w:bCs/>
          <w:i/>
        </w:rPr>
        <w:t>Экспертное заключение</w:t>
      </w:r>
    </w:p>
    <w:p w:rsidR="00483FD8" w:rsidRDefault="00483FD8" w:rsidP="00483FD8">
      <w:pPr>
        <w:pStyle w:val="a5"/>
        <w:jc w:val="both"/>
      </w:pPr>
      <w:r>
        <w:t xml:space="preserve">             </w:t>
      </w:r>
    </w:p>
    <w:p w:rsidR="00483FD8" w:rsidRPr="00483FD8" w:rsidRDefault="00483FD8" w:rsidP="00483FD8">
      <w:pPr>
        <w:pStyle w:val="a5"/>
        <w:jc w:val="both"/>
        <w:rPr>
          <w:b/>
        </w:rPr>
      </w:pPr>
      <w:r>
        <w:t xml:space="preserve">            </w:t>
      </w:r>
      <w:proofErr w:type="gramStart"/>
      <w:r w:rsidRPr="00483FD8">
        <w:t xml:space="preserve">Настоящее Заключение на отчет об исполнении бюджета </w:t>
      </w:r>
      <w:proofErr w:type="spellStart"/>
      <w:r w:rsidRPr="00483FD8">
        <w:t>Большелычакского</w:t>
      </w:r>
      <w:proofErr w:type="spellEnd"/>
      <w:r w:rsidRPr="00483FD8">
        <w:t xml:space="preserve"> сельского поселения </w:t>
      </w:r>
      <w:proofErr w:type="spellStart"/>
      <w:r w:rsidRPr="00483FD8">
        <w:t>Фроловского</w:t>
      </w:r>
      <w:proofErr w:type="spellEnd"/>
      <w:r w:rsidRPr="00483FD8">
        <w:t xml:space="preserve">  муниципального района за 2022 год подготовлено контрольно-счетной палатой </w:t>
      </w:r>
      <w:proofErr w:type="spellStart"/>
      <w:r w:rsidRPr="00483FD8">
        <w:t>Фроловского</w:t>
      </w:r>
      <w:proofErr w:type="spellEnd"/>
      <w:r w:rsidRPr="00483FD8">
        <w:t xml:space="preserve"> муниципального района</w:t>
      </w:r>
      <w:r w:rsidRPr="00483FD8">
        <w:rPr>
          <w:b/>
        </w:rPr>
        <w:t xml:space="preserve"> </w:t>
      </w:r>
      <w:r w:rsidRPr="00483FD8">
        <w:rPr>
          <w:rStyle w:val="FontStyle11"/>
          <w:rFonts w:eastAsia="SimSun"/>
          <w:b w:val="0"/>
          <w:sz w:val="24"/>
          <w:szCs w:val="24"/>
        </w:rPr>
        <w:t>в соответствии с ст. 157, гл. 25.1 Бюджетного кодекса Российской Федерации, п. 2, 6 ст. 52 Федерального закона от 06.10.2003 № 131-ФЗ «Об общих принципах организации местного самоуправления в Российской Федерации», п. 3 ст. 9 Федерального закона от 07.02.2011</w:t>
      </w:r>
      <w:proofErr w:type="gramEnd"/>
      <w:r w:rsidRPr="00483FD8">
        <w:rPr>
          <w:rStyle w:val="FontStyle11"/>
          <w:rFonts w:eastAsia="SimSun"/>
          <w:b w:val="0"/>
          <w:sz w:val="24"/>
          <w:szCs w:val="24"/>
        </w:rPr>
        <w:t xml:space="preserve"> № </w:t>
      </w:r>
      <w:proofErr w:type="gramStart"/>
      <w:r w:rsidRPr="00483FD8">
        <w:rPr>
          <w:rStyle w:val="FontStyle11"/>
          <w:rFonts w:eastAsia="SimSun"/>
          <w:b w:val="0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proofErr w:type="spellStart"/>
      <w:r w:rsidRPr="00483FD8">
        <w:t>Большелычакского</w:t>
      </w:r>
      <w:proofErr w:type="spellEnd"/>
      <w:r w:rsidRPr="00483FD8">
        <w:rPr>
          <w:b/>
        </w:rPr>
        <w:t xml:space="preserve"> </w:t>
      </w:r>
      <w:r w:rsidRPr="00483FD8">
        <w:rPr>
          <w:rStyle w:val="FontStyle11"/>
          <w:rFonts w:eastAsia="SimSun"/>
          <w:b w:val="0"/>
          <w:sz w:val="24"/>
          <w:szCs w:val="24"/>
        </w:rPr>
        <w:t xml:space="preserve">сельского поселения </w:t>
      </w:r>
      <w:proofErr w:type="spellStart"/>
      <w:r w:rsidRPr="00483FD8">
        <w:rPr>
          <w:rStyle w:val="FontStyle11"/>
          <w:rFonts w:eastAsia="SimSun"/>
          <w:b w:val="0"/>
          <w:sz w:val="24"/>
          <w:szCs w:val="24"/>
        </w:rPr>
        <w:t>Фроловского</w:t>
      </w:r>
      <w:proofErr w:type="spellEnd"/>
      <w:r w:rsidRPr="00483FD8">
        <w:rPr>
          <w:rStyle w:val="FontStyle11"/>
          <w:rFonts w:eastAsia="SimSun"/>
          <w:b w:val="0"/>
          <w:sz w:val="24"/>
          <w:szCs w:val="24"/>
        </w:rPr>
        <w:t xml:space="preserve"> муниципального района Волгоградской области, Положением «О контрольно-счетной палате </w:t>
      </w:r>
      <w:proofErr w:type="spellStart"/>
      <w:r w:rsidRPr="00483FD8">
        <w:rPr>
          <w:rStyle w:val="FontStyle11"/>
          <w:rFonts w:eastAsia="SimSun"/>
          <w:b w:val="0"/>
          <w:sz w:val="24"/>
          <w:szCs w:val="24"/>
        </w:rPr>
        <w:t>Фроловского</w:t>
      </w:r>
      <w:proofErr w:type="spellEnd"/>
      <w:r w:rsidRPr="00483FD8">
        <w:rPr>
          <w:rStyle w:val="FontStyle11"/>
          <w:rFonts w:eastAsia="SimSun"/>
          <w:b w:val="0"/>
          <w:sz w:val="24"/>
          <w:szCs w:val="24"/>
        </w:rPr>
        <w:t xml:space="preserve"> муниципального района, утвержденным решением </w:t>
      </w:r>
      <w:proofErr w:type="spellStart"/>
      <w:r w:rsidRPr="00483FD8">
        <w:rPr>
          <w:rStyle w:val="FontStyle11"/>
          <w:rFonts w:eastAsia="SimSun"/>
          <w:b w:val="0"/>
          <w:sz w:val="24"/>
          <w:szCs w:val="24"/>
        </w:rPr>
        <w:t>Фроловской</w:t>
      </w:r>
      <w:proofErr w:type="spellEnd"/>
      <w:r w:rsidRPr="00483FD8">
        <w:rPr>
          <w:rStyle w:val="FontStyle11"/>
          <w:rFonts w:eastAsia="SimSun"/>
          <w:b w:val="0"/>
          <w:sz w:val="24"/>
          <w:szCs w:val="24"/>
        </w:rPr>
        <w:t xml:space="preserve"> районной Думы </w:t>
      </w:r>
      <w:r w:rsidRPr="00483FD8">
        <w:t>от 25.10.2021  № 107/830   и</w:t>
      </w:r>
      <w:r w:rsidRPr="00483FD8">
        <w:rPr>
          <w:b/>
        </w:rPr>
        <w:t xml:space="preserve"> </w:t>
      </w:r>
      <w:r w:rsidRPr="00483FD8">
        <w:rPr>
          <w:rStyle w:val="FontStyle11"/>
          <w:rFonts w:eastAsia="SimSun"/>
          <w:b w:val="0"/>
          <w:sz w:val="24"/>
          <w:szCs w:val="24"/>
        </w:rPr>
        <w:t xml:space="preserve">соглашения о передаче контрольно-счетной палате полномочий контрольно-счетного органа </w:t>
      </w:r>
      <w:proofErr w:type="spellStart"/>
      <w:r w:rsidRPr="00483FD8">
        <w:rPr>
          <w:rStyle w:val="FontStyle11"/>
          <w:rFonts w:eastAsia="SimSun"/>
          <w:b w:val="0"/>
          <w:sz w:val="24"/>
          <w:szCs w:val="24"/>
        </w:rPr>
        <w:t>Большелычакского</w:t>
      </w:r>
      <w:proofErr w:type="spellEnd"/>
      <w:r w:rsidRPr="00483FD8">
        <w:rPr>
          <w:rStyle w:val="FontStyle11"/>
          <w:rFonts w:eastAsia="SimSun"/>
          <w:b w:val="0"/>
          <w:sz w:val="24"/>
          <w:szCs w:val="24"/>
        </w:rPr>
        <w:t xml:space="preserve"> сельского поселения </w:t>
      </w:r>
      <w:proofErr w:type="spellStart"/>
      <w:r w:rsidRPr="00483FD8">
        <w:rPr>
          <w:rStyle w:val="FontStyle11"/>
          <w:rFonts w:eastAsia="SimSun"/>
          <w:b w:val="0"/>
          <w:sz w:val="24"/>
          <w:szCs w:val="24"/>
        </w:rPr>
        <w:t>Фроловского</w:t>
      </w:r>
      <w:proofErr w:type="spellEnd"/>
      <w:r w:rsidRPr="00483FD8">
        <w:rPr>
          <w:rStyle w:val="FontStyle11"/>
          <w:rFonts w:eastAsia="SimSun"/>
          <w:b w:val="0"/>
          <w:sz w:val="24"/>
          <w:szCs w:val="24"/>
        </w:rPr>
        <w:t xml:space="preserve"> муниципального района (далее – </w:t>
      </w:r>
      <w:proofErr w:type="spellStart"/>
      <w:r w:rsidRPr="00483FD8">
        <w:rPr>
          <w:rStyle w:val="FontStyle11"/>
          <w:rFonts w:eastAsia="SimSun"/>
          <w:b w:val="0"/>
          <w:sz w:val="24"/>
          <w:szCs w:val="24"/>
        </w:rPr>
        <w:t>Большелычакское</w:t>
      </w:r>
      <w:proofErr w:type="spellEnd"/>
      <w:r w:rsidRPr="00483FD8">
        <w:rPr>
          <w:rStyle w:val="FontStyle11"/>
          <w:rFonts w:eastAsia="SimSun"/>
          <w:b w:val="0"/>
          <w:sz w:val="24"/>
          <w:szCs w:val="24"/>
        </w:rPr>
        <w:t xml:space="preserve"> сельское поселение).    </w:t>
      </w:r>
      <w:proofErr w:type="gramEnd"/>
    </w:p>
    <w:p w:rsidR="00483FD8" w:rsidRDefault="00483FD8" w:rsidP="0048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Pr="00483FD8">
        <w:rPr>
          <w:rStyle w:val="FontStyle11"/>
          <w:b w:val="0"/>
          <w:sz w:val="24"/>
          <w:szCs w:val="24"/>
        </w:rPr>
        <w:t>Большелычакского</w:t>
      </w:r>
      <w:proofErr w:type="spellEnd"/>
      <w:r>
        <w:rPr>
          <w:rStyle w:val="FontStyle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за 2021  год подготовлен в форме проекта решения Совета депутатов  </w:t>
      </w:r>
      <w:proofErr w:type="spellStart"/>
      <w:r w:rsidRPr="00483FD8">
        <w:rPr>
          <w:rStyle w:val="FontStyle11"/>
          <w:b w:val="0"/>
          <w:sz w:val="24"/>
          <w:szCs w:val="24"/>
        </w:rPr>
        <w:t>Большелычакского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«Об исполнении бюджета </w:t>
      </w:r>
      <w:proofErr w:type="spellStart"/>
      <w:r w:rsidRPr="00483FD8">
        <w:rPr>
          <w:rStyle w:val="FontStyle11"/>
          <w:b w:val="0"/>
          <w:sz w:val="24"/>
          <w:szCs w:val="24"/>
        </w:rPr>
        <w:t>Большелычакского</w:t>
      </w:r>
      <w:proofErr w:type="spellEnd"/>
      <w:r w:rsidRPr="00483F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 области за 2021 год» в соответствии с п. 4 ст. 264.1,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2 п. 2 ст. 264.2 Бюджетного Кодекса Российской Федерации  (далее - БК РФ).</w:t>
      </w:r>
      <w:proofErr w:type="gramEnd"/>
    </w:p>
    <w:p w:rsidR="00483FD8" w:rsidRDefault="00483FD8" w:rsidP="0048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 об исполнении </w:t>
      </w:r>
      <w:r w:rsidRPr="00483FD8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483FD8">
        <w:rPr>
          <w:rStyle w:val="FontStyle11"/>
          <w:b w:val="0"/>
          <w:sz w:val="24"/>
          <w:szCs w:val="24"/>
        </w:rPr>
        <w:t>Большелычакского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за 2021 год, бюджетная отчетность представлены в контрольно-счетную палату в срок, установленный п. 3 ст. 264.4 БК РФ. </w:t>
      </w:r>
    </w:p>
    <w:p w:rsidR="00483FD8" w:rsidRDefault="00483FD8" w:rsidP="00483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 бюджетной отчетности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 №191н (далее – Инструкции № 191н).</w:t>
      </w:r>
    </w:p>
    <w:p w:rsidR="00483FD8" w:rsidRDefault="00483FD8" w:rsidP="00483FD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264.5 БК РФ одновременно с годовой отчетностью представлен проект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Большелычаского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Совета депутатов «Об исполнении  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за 2022 год» (далее – Проект решения). Решение представлено в составе 5 приложений, что соответствует нормам ст. 264.6 БК РФ.</w:t>
      </w:r>
    </w:p>
    <w:p w:rsidR="002A2FFF" w:rsidRPr="00C448DF" w:rsidRDefault="00483FD8" w:rsidP="00483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1D5">
        <w:rPr>
          <w:i/>
        </w:rPr>
        <w:t xml:space="preserve"> </w:t>
      </w:r>
      <w:r>
        <w:rPr>
          <w:rFonts w:eastAsia="Times New Roman" w:cs="Times New Roman"/>
        </w:rPr>
        <w:t xml:space="preserve">              </w:t>
      </w:r>
      <w:r w:rsidR="002A2FFF" w:rsidRPr="00192A9E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="002A2FFF" w:rsidRPr="00192A9E"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 w:rsidR="002A2FFF" w:rsidRPr="00192A9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2A2FFF">
        <w:rPr>
          <w:rFonts w:ascii="Times New Roman" w:hAnsi="Times New Roman" w:cs="Times New Roman"/>
        </w:rPr>
        <w:t xml:space="preserve"> </w:t>
      </w:r>
      <w:r w:rsidR="002A2FFF" w:rsidRPr="00192A9E">
        <w:rPr>
          <w:rFonts w:ascii="Times New Roman" w:hAnsi="Times New Roman" w:cs="Times New Roman"/>
          <w:sz w:val="24"/>
          <w:szCs w:val="24"/>
        </w:rPr>
        <w:t>15.12.2021 № 64/110</w:t>
      </w:r>
      <w:r w:rsidR="002A2FFF" w:rsidRPr="00192A9E">
        <w:rPr>
          <w:rFonts w:ascii="Times New Roman" w:hAnsi="Times New Roman" w:cs="Times New Roman"/>
        </w:rPr>
        <w:t xml:space="preserve">  </w:t>
      </w:r>
      <w:r w:rsidR="002A2FFF" w:rsidRPr="00192A9E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2A2FFF" w:rsidRPr="00192A9E"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 w:rsidR="002A2FFF" w:rsidRPr="00192A9E">
        <w:rPr>
          <w:rFonts w:ascii="Times New Roman" w:hAnsi="Times New Roman" w:cs="Times New Roman"/>
          <w:sz w:val="24"/>
          <w:szCs w:val="24"/>
        </w:rPr>
        <w:t xml:space="preserve"> сельского поселения на 2022 год и на плановый период 2023 и 2024 годов» </w:t>
      </w:r>
      <w:r w:rsidR="002A2FFF" w:rsidRPr="00C448DF">
        <w:rPr>
          <w:rFonts w:ascii="Times New Roman" w:hAnsi="Times New Roman" w:cs="Times New Roman"/>
          <w:sz w:val="24"/>
          <w:szCs w:val="24"/>
        </w:rPr>
        <w:t>по доходам и расходам в сумме 8850,4 тыс. рублей, бюджет сбалансированный.</w:t>
      </w:r>
    </w:p>
    <w:p w:rsidR="002A2FFF" w:rsidRPr="00192A9E" w:rsidRDefault="002A2FFF" w:rsidP="002A2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A9E">
        <w:rPr>
          <w:rFonts w:ascii="Times New Roman" w:hAnsi="Times New Roman" w:cs="Times New Roman"/>
          <w:sz w:val="24"/>
          <w:szCs w:val="24"/>
        </w:rPr>
        <w:t xml:space="preserve">       </w:t>
      </w:r>
      <w:r w:rsidRPr="00192A9E">
        <w:rPr>
          <w:rFonts w:ascii="Times New Roman" w:hAnsi="Times New Roman" w:cs="Times New Roman"/>
          <w:sz w:val="24"/>
          <w:szCs w:val="24"/>
        </w:rPr>
        <w:tab/>
        <w:t>Проект бюджета сельского поселения утвержден в соответствии со ст.187 Бюджетного кодекса Российской Федерации, до начала финансового года.</w:t>
      </w:r>
    </w:p>
    <w:p w:rsidR="002A2FFF" w:rsidRPr="00C448DF" w:rsidRDefault="002A2FFF" w:rsidP="002A2FFF">
      <w:pPr>
        <w:spacing w:after="0" w:line="240" w:lineRule="auto"/>
        <w:ind w:firstLine="540"/>
        <w:jc w:val="both"/>
      </w:pPr>
      <w:r w:rsidRPr="00C448DF">
        <w:rPr>
          <w:rFonts w:ascii="Times New Roman" w:hAnsi="Times New Roman" w:cs="Times New Roman"/>
          <w:sz w:val="24"/>
          <w:szCs w:val="24"/>
        </w:rPr>
        <w:t xml:space="preserve">  В ходе исполнения в бюджет поселения решениями Совета депутатов </w:t>
      </w:r>
      <w:proofErr w:type="spellStart"/>
      <w:r w:rsidRPr="00C448DF">
        <w:rPr>
          <w:rFonts w:ascii="Times New Roman" w:hAnsi="Times New Roman" w:cs="Times New Roman"/>
          <w:sz w:val="24"/>
          <w:szCs w:val="24"/>
        </w:rPr>
        <w:lastRenderedPageBreak/>
        <w:t>Большелычакскогоо</w:t>
      </w:r>
      <w:proofErr w:type="spellEnd"/>
      <w:r w:rsidRPr="00C448DF">
        <w:rPr>
          <w:rFonts w:ascii="Times New Roman" w:hAnsi="Times New Roman" w:cs="Times New Roman"/>
          <w:sz w:val="24"/>
          <w:szCs w:val="24"/>
        </w:rPr>
        <w:t xml:space="preserve"> сельского поселения  вносились изменения. В результате изменений и дополнений окончательно был утвержден бюджет с общим объемом годовых назначений доходной части в сумме</w:t>
      </w:r>
      <w:r w:rsidRPr="00C448DF">
        <w:t xml:space="preserve"> </w:t>
      </w:r>
      <w:r w:rsidRPr="00C448DF">
        <w:rPr>
          <w:rFonts w:ascii="Times New Roman" w:hAnsi="Times New Roman" w:cs="Times New Roman"/>
          <w:sz w:val="24"/>
          <w:szCs w:val="24"/>
        </w:rPr>
        <w:t>10119,3 тыс</w:t>
      </w:r>
      <w:proofErr w:type="gramStart"/>
      <w:r w:rsidRPr="00C448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448DF">
        <w:rPr>
          <w:rFonts w:ascii="Times New Roman" w:hAnsi="Times New Roman" w:cs="Times New Roman"/>
          <w:sz w:val="24"/>
          <w:szCs w:val="24"/>
        </w:rPr>
        <w:t>ублей, расходной части в сумме 11459,9 тыс.рублей.</w:t>
      </w:r>
      <w:r w:rsidRPr="00C448DF">
        <w:t xml:space="preserve"> </w:t>
      </w:r>
      <w:r w:rsidRPr="00C448DF">
        <w:rPr>
          <w:shd w:val="clear" w:color="auto" w:fill="FEFFFE"/>
          <w:lang w:bidi="he-IL"/>
        </w:rPr>
        <w:t xml:space="preserve"> </w:t>
      </w:r>
    </w:p>
    <w:p w:rsidR="002A2FFF" w:rsidRPr="00AC44AC" w:rsidRDefault="002A2FFF" w:rsidP="002A2F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48DF">
        <w:rPr>
          <w:rFonts w:ascii="Times New Roman" w:hAnsi="Times New Roman" w:cs="Times New Roman"/>
          <w:sz w:val="24"/>
          <w:szCs w:val="24"/>
        </w:rPr>
        <w:t>При этом доходная часть бюджета поселения увеличилась на 1268,9 тыс. рублей (+ 14,3 %),</w:t>
      </w:r>
      <w:r w:rsidRPr="00C448DF">
        <w:rPr>
          <w:rFonts w:ascii="Times New Roman" w:hAnsi="Times New Roman" w:cs="Times New Roman"/>
          <w:i/>
          <w:sz w:val="24"/>
          <w:szCs w:val="24"/>
          <w:shd w:val="clear" w:color="auto" w:fill="FEFFFE"/>
          <w:lang w:bidi="he-IL"/>
        </w:rPr>
        <w:t xml:space="preserve"> </w:t>
      </w:r>
      <w:r w:rsidRPr="00C448DF">
        <w:rPr>
          <w:rFonts w:ascii="Times New Roman" w:hAnsi="Times New Roman" w:cs="Times New Roman"/>
          <w:sz w:val="24"/>
          <w:szCs w:val="24"/>
        </w:rPr>
        <w:t>расходная на +2609,5 тыс</w:t>
      </w:r>
      <w:proofErr w:type="gramStart"/>
      <w:r w:rsidRPr="00C448D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448DF">
        <w:rPr>
          <w:rFonts w:ascii="Times New Roman" w:hAnsi="Times New Roman" w:cs="Times New Roman"/>
          <w:sz w:val="24"/>
          <w:szCs w:val="24"/>
        </w:rPr>
        <w:t>ублей (+ 29,5 %).</w:t>
      </w:r>
      <w:r w:rsidRPr="00C448DF">
        <w:rPr>
          <w:b/>
        </w:rPr>
        <w:t xml:space="preserve"> </w:t>
      </w:r>
      <w:r w:rsidRPr="00AC44AC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Фактическое исполнение бюджета </w:t>
      </w:r>
      <w:proofErr w:type="spellStart"/>
      <w:r w:rsidRPr="00AC44A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Большелычакского</w:t>
      </w:r>
      <w:proofErr w:type="spellEnd"/>
      <w:r w:rsidRPr="00AC44A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сельского </w:t>
      </w:r>
      <w:r w:rsidRPr="00AC44AC">
        <w:rPr>
          <w:rFonts w:ascii="Times New Roman" w:hAnsi="Times New Roman" w:cs="Times New Roman"/>
          <w:w w:val="109"/>
          <w:sz w:val="24"/>
          <w:szCs w:val="24"/>
          <w:shd w:val="clear" w:color="auto" w:fill="FEFFFE"/>
          <w:lang w:bidi="he-IL"/>
        </w:rPr>
        <w:t xml:space="preserve">поселения в </w:t>
      </w:r>
      <w:r w:rsidRPr="00AC44A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2022 году по доходам составило 10286,2  тыс</w:t>
      </w:r>
      <w:proofErr w:type="gramStart"/>
      <w:r w:rsidRPr="00AC44A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AC44A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ублей, по расходам 10357,5 тыс. рублей, с </w:t>
      </w:r>
      <w:proofErr w:type="spellStart"/>
      <w:r w:rsidRPr="00AC44A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профицитом</w:t>
      </w:r>
      <w:proofErr w:type="spellEnd"/>
      <w:r w:rsidRPr="00AC44AC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в сумме 71,3 тыс.рублей.</w:t>
      </w:r>
    </w:p>
    <w:p w:rsidR="002A2FFF" w:rsidRPr="00AC44AC" w:rsidRDefault="002A2FFF" w:rsidP="002A2FFF">
      <w:pPr>
        <w:autoSpaceDE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C44AC">
        <w:rPr>
          <w:rFonts w:ascii="Times New Roman" w:hAnsi="Times New Roman" w:cs="Times New Roman"/>
          <w:sz w:val="24"/>
          <w:szCs w:val="24"/>
        </w:rPr>
        <w:t xml:space="preserve">        Согласно статье 221 БК РФ, 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2A2FFF" w:rsidRPr="00FE518F" w:rsidRDefault="002A2FFF" w:rsidP="00483FD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E518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E51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FFF" w:rsidRPr="00AC44AC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proofErr w:type="gramStart"/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   </w:t>
      </w:r>
      <w:proofErr w:type="spellStart"/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Большелычакского</w:t>
      </w:r>
      <w:proofErr w:type="spellEnd"/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2022 год и плановый период 2023-2024 годов утвержден Решением Совета депутатов </w:t>
      </w:r>
      <w:proofErr w:type="spellStart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Большелычакского</w:t>
      </w:r>
      <w:proofErr w:type="spellEnd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AC4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C44AC">
        <w:rPr>
          <w:rFonts w:ascii="Times New Roman" w:hAnsi="Times New Roman" w:cs="Times New Roman"/>
          <w:sz w:val="24"/>
          <w:szCs w:val="24"/>
        </w:rPr>
        <w:t>15.12.2021 № 64/110</w:t>
      </w:r>
      <w:r w:rsidRPr="00AC44AC">
        <w:rPr>
          <w:rFonts w:ascii="Times New Roman" w:hAnsi="Times New Roman" w:cs="Times New Roman"/>
        </w:rPr>
        <w:t xml:space="preserve"> 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 начала очередного финансового года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доходам в сумме</w:t>
      </w:r>
      <w:r w:rsidRPr="00AC4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>8850,4 тыс. рублей, в том числе безвозмездные поступления от других бюджетов бюджетной системы РФ – 2931,1   тыс. рублей и расходам в сумме 8850,4 тыс. рублей.</w:t>
      </w:r>
      <w:proofErr w:type="gramEnd"/>
    </w:p>
    <w:p w:rsidR="002A2FFF" w:rsidRPr="00880BEA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  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бюджет вносились решениями Совета депутатов </w:t>
      </w:r>
      <w:proofErr w:type="spellStart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Большелычакского</w:t>
      </w:r>
      <w:proofErr w:type="spellEnd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Последняя корректировка параметров бюджета принята решением Совета депутатов </w:t>
      </w:r>
      <w:proofErr w:type="spellStart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Большелычакского</w:t>
      </w:r>
      <w:proofErr w:type="spellEnd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80BEA">
        <w:rPr>
          <w:rFonts w:ascii="Times New Roman" w:hAnsi="Times New Roman" w:cs="Times New Roman"/>
          <w:sz w:val="24"/>
          <w:szCs w:val="24"/>
        </w:rPr>
        <w:t xml:space="preserve">от </w:t>
      </w:r>
      <w:r w:rsidR="00880BEA" w:rsidRPr="00880BEA">
        <w:rPr>
          <w:rFonts w:ascii="Times New Roman" w:hAnsi="Times New Roman" w:cs="Times New Roman"/>
          <w:sz w:val="24"/>
          <w:szCs w:val="24"/>
        </w:rPr>
        <w:t>12.</w:t>
      </w:r>
      <w:r w:rsidRPr="00880BEA">
        <w:rPr>
          <w:rFonts w:ascii="Times New Roman" w:hAnsi="Times New Roman" w:cs="Times New Roman"/>
          <w:sz w:val="24"/>
          <w:szCs w:val="24"/>
        </w:rPr>
        <w:t>12.202</w:t>
      </w:r>
      <w:r w:rsidR="00880BEA" w:rsidRPr="00880BEA">
        <w:rPr>
          <w:rFonts w:ascii="Times New Roman" w:hAnsi="Times New Roman" w:cs="Times New Roman"/>
          <w:sz w:val="24"/>
          <w:szCs w:val="24"/>
        </w:rPr>
        <w:t>2</w:t>
      </w:r>
      <w:r w:rsidRPr="00880BEA">
        <w:rPr>
          <w:rFonts w:ascii="Times New Roman" w:hAnsi="Times New Roman" w:cs="Times New Roman"/>
          <w:sz w:val="24"/>
          <w:szCs w:val="24"/>
        </w:rPr>
        <w:t xml:space="preserve">  № </w:t>
      </w:r>
      <w:r w:rsidR="00880BEA" w:rsidRPr="00880BEA">
        <w:rPr>
          <w:rFonts w:ascii="Times New Roman" w:hAnsi="Times New Roman" w:cs="Times New Roman"/>
          <w:sz w:val="24"/>
          <w:szCs w:val="24"/>
        </w:rPr>
        <w:t>89</w:t>
      </w:r>
      <w:r w:rsidRPr="00880BEA">
        <w:rPr>
          <w:rFonts w:ascii="Times New Roman" w:hAnsi="Times New Roman" w:cs="Times New Roman"/>
          <w:sz w:val="24"/>
          <w:szCs w:val="24"/>
        </w:rPr>
        <w:t>/1</w:t>
      </w:r>
      <w:r w:rsidR="00880BEA" w:rsidRPr="00880BEA">
        <w:rPr>
          <w:rFonts w:ascii="Times New Roman" w:hAnsi="Times New Roman" w:cs="Times New Roman"/>
          <w:sz w:val="24"/>
          <w:szCs w:val="24"/>
        </w:rPr>
        <w:t>51</w:t>
      </w:r>
      <w:r w:rsidRPr="00880BE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A2FFF" w:rsidRPr="00AC44AC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годового отчета об исполнении бюджета </w:t>
      </w:r>
      <w:proofErr w:type="spellStart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Большелычакского</w:t>
      </w:r>
      <w:proofErr w:type="spellEnd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 год фактический объем доходов составил 10286,2  тыс. рублей (101,6 % от уточненного бюджета), расходы исполнены в сумме 10357,5  тыс. рублей (89,7 % от уточненного бюджета), дефицит</w:t>
      </w:r>
      <w:r w:rsidR="0048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сложился в сумме 71,3 тыс. рублей.</w:t>
      </w:r>
    </w:p>
    <w:p w:rsidR="002A2FFF" w:rsidRPr="00FE518F" w:rsidRDefault="002A2FFF" w:rsidP="002A2FFF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FFF" w:rsidRPr="00AC44AC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proofErr w:type="gramStart"/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   </w:t>
      </w:r>
      <w:proofErr w:type="spellStart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Большелычакского</w:t>
      </w:r>
      <w:proofErr w:type="spellEnd"/>
      <w:r w:rsidRPr="00AC4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 год утвержден до начала очередного финансового года по доходам в сумме  8850,4 тыс. рублей, в том числе безвозмездные поступления от других бюджетов бюджетной системы РФ –2931,1  тыс. рублей</w:t>
      </w:r>
      <w:r w:rsidRPr="00AC4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уточненные бюджетные назначения по доходам составили 10119,3 тыс. рублей, в том числе: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налоговые и неналоговые доходы – 6477,2 тыс. рублей,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других бюджетов бюджетной системы</w:t>
      </w:r>
      <w:proofErr w:type="gramEnd"/>
      <w:r w:rsidRPr="00AC4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– 3642,1 тыс. рублей.</w:t>
      </w:r>
    </w:p>
    <w:p w:rsidR="002A2FFF" w:rsidRPr="006932EC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 исполнены за 2022 год в сумме 10286,2 тыс. рублей, что составило 101,6 % к плановым показателям.</w:t>
      </w:r>
      <w:r w:rsidRPr="006932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доходов бюджета следующая: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 – 6644,1 тыс. рублей (102,6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плану),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–3642,1 тыс. рублей (100,0 % к плану).</w:t>
      </w:r>
    </w:p>
    <w:p w:rsidR="002A2FFF" w:rsidRPr="006932EC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2021 годом структура учтенных в 2022 году доходов в  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бюджете сельского поселения  следующим образом:</w:t>
      </w:r>
    </w:p>
    <w:p w:rsidR="002A2FFF" w:rsidRPr="006932EC" w:rsidRDefault="002A2FFF" w:rsidP="002A2FFF">
      <w:pPr>
        <w:pStyle w:val="31"/>
        <w:spacing w:after="0"/>
        <w:ind w:firstLine="708"/>
        <w:jc w:val="center"/>
      </w:pPr>
      <w:r w:rsidRPr="006932E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(тыс. рублей)</w:t>
      </w:r>
    </w:p>
    <w:tbl>
      <w:tblPr>
        <w:tblW w:w="1173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517"/>
        <w:gridCol w:w="1133"/>
        <w:gridCol w:w="1276"/>
        <w:gridCol w:w="992"/>
        <w:gridCol w:w="992"/>
        <w:gridCol w:w="851"/>
        <w:gridCol w:w="992"/>
        <w:gridCol w:w="851"/>
        <w:gridCol w:w="2126"/>
      </w:tblGrid>
      <w:tr w:rsidR="002A2FFF" w:rsidRPr="00FE518F" w:rsidTr="00483FD8">
        <w:trPr>
          <w:gridAfter w:val="1"/>
          <w:wAfter w:w="2126" w:type="dxa"/>
          <w:cantSplit/>
          <w:trHeight w:hRule="exact" w:val="406"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Исполнено 2021 год</w:t>
            </w:r>
          </w:p>
        </w:tc>
        <w:tc>
          <w:tcPr>
            <w:tcW w:w="41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 xml:space="preserve">Отклонение гр.4-гр.2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auto"/>
            </w:tcBorders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2FFF" w:rsidRPr="00FE518F" w:rsidTr="00483FD8">
        <w:trPr>
          <w:gridAfter w:val="1"/>
          <w:wAfter w:w="2126" w:type="dxa"/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2A2FFF" w:rsidRPr="00D64426" w:rsidRDefault="002A2FFF" w:rsidP="00483FD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2FFF" w:rsidRPr="00FE518F" w:rsidRDefault="002A2FFF" w:rsidP="00483FD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Назначено 20</w:t>
            </w:r>
            <w:r w:rsidRPr="00D6442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proofErr w:type="spellStart"/>
            <w:r w:rsidRPr="00D64426">
              <w:rPr>
                <w:rFonts w:ascii="Times New Roman" w:hAnsi="Times New Roman"/>
                <w:sz w:val="22"/>
                <w:szCs w:val="22"/>
              </w:rPr>
              <w:t>2</w:t>
            </w:r>
            <w:proofErr w:type="spellEnd"/>
            <w:r w:rsidRPr="00D6442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64426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Исполнено 20</w:t>
            </w:r>
            <w:r w:rsidRPr="00D64426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proofErr w:type="spellStart"/>
            <w:r w:rsidRPr="00D64426">
              <w:rPr>
                <w:rFonts w:ascii="Times New Roman" w:hAnsi="Times New Roman"/>
                <w:sz w:val="22"/>
                <w:szCs w:val="22"/>
              </w:rPr>
              <w:t>2</w:t>
            </w:r>
            <w:proofErr w:type="spellEnd"/>
            <w:r w:rsidRPr="00D64426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Отклонение гр.4-гр3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proofErr w:type="spellStart"/>
            <w:r w:rsidRPr="00D64426">
              <w:rPr>
                <w:rFonts w:ascii="Times New Roman" w:hAnsi="Times New Roman"/>
                <w:sz w:val="22"/>
                <w:szCs w:val="22"/>
              </w:rPr>
              <w:t>исполне</w:t>
            </w:r>
            <w:proofErr w:type="spellEnd"/>
            <w:r w:rsidRPr="00D6442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64426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  <w:hideMark/>
          </w:tcPr>
          <w:p w:rsidR="002A2FFF" w:rsidRPr="00D64426" w:rsidRDefault="002A2FFF" w:rsidP="00483FD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64426">
              <w:rPr>
                <w:rFonts w:ascii="Times New Roman" w:hAnsi="Times New Roman"/>
                <w:sz w:val="22"/>
                <w:szCs w:val="22"/>
              </w:rPr>
              <w:t>Структура,%</w:t>
            </w:r>
            <w:proofErr w:type="spellEnd"/>
          </w:p>
        </w:tc>
      </w:tr>
      <w:tr w:rsidR="002A2FFF" w:rsidRPr="00FE518F" w:rsidTr="00483FD8">
        <w:trPr>
          <w:gridAfter w:val="1"/>
          <w:wAfter w:w="2126" w:type="dxa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A2FFF" w:rsidRPr="00FE518F" w:rsidTr="00483FD8">
        <w:trPr>
          <w:trHeight w:val="245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64426">
              <w:rPr>
                <w:rFonts w:ascii="Times New Roman" w:hAnsi="Times New Roman" w:cs="Times New Roman"/>
                <w:i/>
              </w:rPr>
              <w:t>Собственные доходы: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64426">
              <w:rPr>
                <w:rFonts w:ascii="Times New Roman" w:hAnsi="Times New Roman" w:cs="Times New Roman"/>
                <w:i/>
              </w:rPr>
              <w:t>6116,0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6477,2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6644,1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+166,9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+528,1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64,6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2FFF" w:rsidRPr="00FE518F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</w:p>
        </w:tc>
      </w:tr>
      <w:tr w:rsidR="002A2FFF" w:rsidRPr="00FE518F" w:rsidTr="00483FD8">
        <w:trPr>
          <w:gridAfter w:val="1"/>
          <w:wAfter w:w="2126" w:type="dxa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64426">
              <w:rPr>
                <w:rFonts w:ascii="Times New Roman" w:hAnsi="Times New Roman" w:cs="Times New Roman"/>
                <w:i/>
              </w:rPr>
              <w:t>Налоговые доходы: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64426">
              <w:rPr>
                <w:rFonts w:ascii="Times New Roman" w:hAnsi="Times New Roman" w:cs="Times New Roman"/>
                <w:i/>
              </w:rPr>
              <w:t>6091,7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6459,0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6613,9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+154,9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</w:tc>
      </w:tr>
      <w:tr w:rsidR="002A2FFF" w:rsidRPr="00FE518F" w:rsidTr="00483FD8">
        <w:trPr>
          <w:gridAfter w:val="1"/>
          <w:wAfter w:w="2126" w:type="dxa"/>
          <w:trHeight w:val="373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42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426">
              <w:rPr>
                <w:rFonts w:ascii="Times New Roman" w:hAnsi="Times New Roman" w:cs="Times New Roman"/>
              </w:rPr>
              <w:t>947,8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865,3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1100,1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+234,8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127,1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+152,3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2A2FFF" w:rsidRPr="00FE518F" w:rsidTr="00483FD8">
        <w:trPr>
          <w:gridAfter w:val="1"/>
          <w:wAfter w:w="2126" w:type="dxa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Налоги на товары (работы и услуги), реализуемые на территории РФ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64426">
              <w:rPr>
                <w:rFonts w:ascii="Times New Roman" w:hAnsi="Times New Roman" w:cs="Times New Roman"/>
              </w:rPr>
              <w:t>3489,6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3523,9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3637,5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+113,6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+147,9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2FFF" w:rsidRPr="00D64426" w:rsidRDefault="002A2FFF" w:rsidP="00483FD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</w:tr>
      <w:tr w:rsidR="002A2FFF" w:rsidRPr="00FE518F" w:rsidTr="00483FD8">
        <w:trPr>
          <w:gridAfter w:val="1"/>
          <w:wAfter w:w="2126" w:type="dxa"/>
          <w:trHeight w:val="230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426">
              <w:rPr>
                <w:rFonts w:ascii="Times New Roman" w:hAnsi="Times New Roman" w:cs="Times New Roman"/>
              </w:rPr>
              <w:t>407,2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622,0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620,1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2A2FFF" w:rsidRPr="00FE518F" w:rsidTr="00483FD8">
        <w:trPr>
          <w:gridAfter w:val="1"/>
          <w:wAfter w:w="2126" w:type="dxa"/>
          <w:trHeight w:val="618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426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+3,0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+13,9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2A2FFF" w:rsidRPr="00FE518F" w:rsidTr="00483FD8">
        <w:trPr>
          <w:gridAfter w:val="1"/>
          <w:wAfter w:w="2126" w:type="dxa"/>
          <w:trHeight w:val="169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426">
              <w:rPr>
                <w:rFonts w:ascii="Times New Roman" w:hAnsi="Times New Roman" w:cs="Times New Roman"/>
              </w:rPr>
              <w:t>1219,5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1409,3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1226,4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-182,9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</w:tr>
      <w:tr w:rsidR="002A2FFF" w:rsidRPr="00FE518F" w:rsidTr="00483FD8">
        <w:trPr>
          <w:gridAfter w:val="1"/>
          <w:wAfter w:w="2126" w:type="dxa"/>
          <w:trHeight w:val="169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Задолженность по отмененным налогам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Default="002A2FFF" w:rsidP="00483FD8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-11,7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2FFF" w:rsidRPr="00FE518F" w:rsidTr="00483FD8">
        <w:trPr>
          <w:gridAfter w:val="1"/>
          <w:wAfter w:w="2126" w:type="dxa"/>
          <w:trHeight w:val="230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64426">
              <w:rPr>
                <w:rFonts w:ascii="Times New Roman" w:hAnsi="Times New Roman" w:cs="Times New Roman"/>
                <w:i/>
              </w:rPr>
              <w:t>24,3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18,2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30,2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+12,0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165,9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+5,9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2A2FFF" w:rsidRPr="00FE518F" w:rsidTr="00483FD8">
        <w:trPr>
          <w:gridAfter w:val="1"/>
          <w:wAfter w:w="2126" w:type="dxa"/>
          <w:trHeight w:val="453"/>
        </w:trPr>
        <w:tc>
          <w:tcPr>
            <w:tcW w:w="25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426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A2FFF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2FFF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2FFF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2A2FFF" w:rsidRPr="00FE518F" w:rsidTr="00483FD8">
        <w:trPr>
          <w:gridAfter w:val="1"/>
          <w:wAfter w:w="2126" w:type="dxa"/>
          <w:trHeight w:val="273"/>
        </w:trPr>
        <w:tc>
          <w:tcPr>
            <w:tcW w:w="25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от компенсации затрат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D64426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2FFF" w:rsidRPr="00FE518F" w:rsidTr="00483FD8">
        <w:trPr>
          <w:gridAfter w:val="1"/>
          <w:wAfter w:w="2126" w:type="dxa"/>
          <w:trHeight w:val="273"/>
        </w:trPr>
        <w:tc>
          <w:tcPr>
            <w:tcW w:w="25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   от оказания платных услуг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D6442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2FFF" w:rsidRPr="00FE518F" w:rsidTr="00483FD8">
        <w:trPr>
          <w:gridAfter w:val="1"/>
          <w:wAfter w:w="2126" w:type="dxa"/>
          <w:trHeight w:val="273"/>
        </w:trPr>
        <w:tc>
          <w:tcPr>
            <w:tcW w:w="25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0,1 </w:t>
            </w:r>
          </w:p>
        </w:tc>
      </w:tr>
      <w:tr w:rsidR="002A2FFF" w:rsidRPr="00FE518F" w:rsidTr="00483FD8">
        <w:trPr>
          <w:gridAfter w:val="1"/>
          <w:wAfter w:w="2126" w:type="dxa"/>
          <w:trHeight w:val="273"/>
        </w:trPr>
        <w:tc>
          <w:tcPr>
            <w:tcW w:w="25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426">
              <w:rPr>
                <w:rFonts w:ascii="Times New Roman" w:hAnsi="Times New Roman" w:cs="Times New Roman"/>
                <w:i/>
              </w:rPr>
              <w:t>3162,9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3642,1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+479,2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2A2FFF" w:rsidRPr="00D64426" w:rsidRDefault="002A2FFF" w:rsidP="00483FD8">
            <w:pPr>
              <w:ind w:left="-108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35,4</w:t>
            </w:r>
          </w:p>
        </w:tc>
      </w:tr>
      <w:tr w:rsidR="002A2FFF" w:rsidRPr="00FE518F" w:rsidTr="00483FD8">
        <w:trPr>
          <w:gridAfter w:val="1"/>
          <w:wAfter w:w="2126" w:type="dxa"/>
          <w:trHeight w:val="313"/>
        </w:trPr>
        <w:tc>
          <w:tcPr>
            <w:tcW w:w="2517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64426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133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64426">
              <w:rPr>
                <w:rFonts w:ascii="Times New Roman CYR" w:hAnsi="Times New Roman CYR" w:cs="Times New Roman CYR"/>
                <w:bCs/>
              </w:rPr>
              <w:t>1037,0</w:t>
            </w:r>
          </w:p>
        </w:tc>
        <w:tc>
          <w:tcPr>
            <w:tcW w:w="1276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1093,0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1093,0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FFF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</w:p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+56,0</w:t>
            </w:r>
          </w:p>
        </w:tc>
        <w:tc>
          <w:tcPr>
            <w:tcW w:w="851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2A2FFF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</w:p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10,6</w:t>
            </w:r>
          </w:p>
        </w:tc>
      </w:tr>
      <w:tr w:rsidR="002A2FFF" w:rsidRPr="00FE518F" w:rsidTr="00483FD8">
        <w:trPr>
          <w:gridAfter w:val="1"/>
          <w:wAfter w:w="2126" w:type="dxa"/>
          <w:trHeight w:val="30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64426">
              <w:rPr>
                <w:rFonts w:ascii="Times New Roman CYR" w:hAnsi="Times New Roman CYR" w:cs="Times New Roman CYR"/>
                <w:bCs/>
              </w:rPr>
              <w:t>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+7,4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0,9</w:t>
            </w:r>
          </w:p>
        </w:tc>
      </w:tr>
      <w:tr w:rsidR="002A2FFF" w:rsidRPr="00FE518F" w:rsidTr="00483FD8">
        <w:trPr>
          <w:gridAfter w:val="1"/>
          <w:wAfter w:w="2126" w:type="dxa"/>
          <w:trHeight w:val="134"/>
        </w:trPr>
        <w:tc>
          <w:tcPr>
            <w:tcW w:w="251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субвенции бюджетам поселений на выполнение передаваемых полномочий субъектов РФ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4426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+0,1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</w:tcPr>
          <w:p w:rsidR="002A2FFF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A2FFF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</w:p>
        </w:tc>
      </w:tr>
      <w:tr w:rsidR="002A2FFF" w:rsidRPr="00FE518F" w:rsidTr="00483FD8">
        <w:trPr>
          <w:gridAfter w:val="1"/>
          <w:wAfter w:w="2126" w:type="dxa"/>
          <w:trHeight w:val="145"/>
        </w:trPr>
        <w:tc>
          <w:tcPr>
            <w:tcW w:w="25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FFF" w:rsidRPr="00D64426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44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bottom"/>
            <w:hideMark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D64426">
              <w:rPr>
                <w:rFonts w:ascii="Times New Roman CYR" w:hAnsi="Times New Roman CYR" w:cs="Times New Roman CYR"/>
                <w:bCs/>
              </w:rPr>
              <w:t>2037,6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2453,5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2453,5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+415,9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23,8</w:t>
            </w:r>
          </w:p>
        </w:tc>
      </w:tr>
      <w:tr w:rsidR="002A2FFF" w:rsidRPr="00FE518F" w:rsidTr="00483FD8">
        <w:trPr>
          <w:gridAfter w:val="1"/>
          <w:wAfter w:w="2126" w:type="dxa"/>
          <w:trHeight w:val="206"/>
        </w:trPr>
        <w:tc>
          <w:tcPr>
            <w:tcW w:w="251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FFF" w:rsidRPr="00D64426" w:rsidRDefault="002A2FFF" w:rsidP="00483FD8">
            <w:pPr>
              <w:pStyle w:val="31"/>
              <w:spacing w:after="0" w:line="276" w:lineRule="auto"/>
              <w:ind w:left="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64426">
              <w:rPr>
                <w:rFonts w:ascii="Times New Roman" w:hAnsi="Times New Roman"/>
                <w:i/>
                <w:sz w:val="22"/>
                <w:szCs w:val="22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  <w:hideMark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4426">
              <w:rPr>
                <w:rFonts w:ascii="Times New Roman" w:hAnsi="Times New Roman" w:cs="Times New Roman"/>
                <w:i/>
              </w:rPr>
              <w:t>9278,9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10119,3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10286,2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+166,9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101,6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+1007,3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</w:tcPr>
          <w:p w:rsidR="002A2FFF" w:rsidRPr="00D64426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  <w:i/>
              </w:rPr>
            </w:pPr>
            <w:r>
              <w:rPr>
                <w:rFonts w:ascii="Times New Roman CYR" w:hAnsi="Times New Roman CYR" w:cs="Times New Roman CYR"/>
                <w:bCs/>
                <w:i/>
              </w:rPr>
              <w:t>100,0</w:t>
            </w:r>
          </w:p>
        </w:tc>
      </w:tr>
    </w:tbl>
    <w:p w:rsidR="002A2FFF" w:rsidRPr="006932EC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представленных данных показал, что налоговые и неналоговые доходы</w:t>
      </w:r>
      <w:r w:rsidRPr="006932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составили 6644,1 тыс. рублей, в общих доходах бюджета за 2022 год 64,6 %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поступления в сравнении с 2021 годом увеличилось  на 528,1 тыс. рублей или +8,6 %.</w:t>
      </w: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 налоговых доходов   связано с увеличением   поступлений в основном по   налогу на товары +113,6 тыс. рублей, налогу на доходы физических лиц.</w:t>
      </w:r>
      <w:proofErr w:type="gramEnd"/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неналоговых доходов также увеличились на 5,9 тыс. рублей в части штрафов.</w:t>
      </w:r>
    </w:p>
    <w:p w:rsidR="002A2FFF" w:rsidRPr="006932EC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</w:t>
      </w:r>
      <w:r w:rsidRPr="006932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налоговых доходов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 доходным источником является </w:t>
      </w:r>
      <w:r w:rsidRPr="006932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налог на товары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(55,0 %  от общей суммы налоговых доходов).  </w:t>
      </w:r>
    </w:p>
    <w:p w:rsidR="002A2FFF" w:rsidRPr="006932EC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поступлений в бюджет </w:t>
      </w:r>
      <w:r w:rsidRPr="006932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налога на доходы физических лиц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2022 год составила 1100,1 тыс</w:t>
      </w:r>
      <w:proofErr w:type="gramStart"/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 что на 16,1 % ниже уровня 2021года.</w:t>
      </w:r>
    </w:p>
    <w:p w:rsidR="002A2FFF" w:rsidRPr="006932EC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 </w:t>
      </w:r>
      <w:r w:rsidRPr="006932E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единого сельскохозяйственного налога</w:t>
      </w:r>
      <w:r w:rsidRPr="00693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составила 620,1 тыс. рублей, что на 52,3 % выше уровня 2021года.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 поступил на 13,9 тыс. рублей больше 2021 года и составил 41,5 тыс. рублей.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 исполнен  в сумме 1226,4 тыс</w:t>
      </w:r>
      <w:proofErr w:type="gramStart"/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или 87,0 % уточненного плана на год. По отношению к уровню 2021 год доходы бюджета по данному налогу увеличились на 0,6 %.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 </w:t>
      </w:r>
      <w:r w:rsidRPr="00C8545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неналоговых доходов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бюджет составило 30,2 тыс</w:t>
      </w:r>
      <w:proofErr w:type="gramStart"/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или 165,9 % к плановым назначениям.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неналоговых доходов бюджета является доходы  от </w:t>
      </w:r>
      <w:r w:rsidRPr="00C854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использования имущества и прав муниципальной собственности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(59,6 % в структуре неналоговых доходов).</w:t>
      </w:r>
      <w:r w:rsidRPr="00C854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сполнение в 2022 году в сумме 18,0 тыс</w:t>
      </w:r>
      <w:proofErr w:type="gramStart"/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или 100,0 %</w:t>
      </w:r>
      <w:r w:rsidRPr="00C854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уточненного плана на год.  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Прочие доходы от оказания платных услуг   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оставили 0,7 тыс. рублей. По отношение к 2021  году исполнение составило 100%.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 </w:t>
      </w:r>
      <w:r w:rsidRPr="00C8545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безвозмездных поступлений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доходную часть бюджета составила 3642,1        тыс. рублей или 100,0 % к уточненному плану, по отношению к уровню 2021 года поступления  увеличились на 15,2 %.</w:t>
      </w:r>
    </w:p>
    <w:p w:rsidR="002A2FFF" w:rsidRPr="00FE518F" w:rsidRDefault="002A2FFF" w:rsidP="002A2FFF">
      <w:pPr>
        <w:pStyle w:val="Standard"/>
        <w:spacing w:after="0" w:line="240" w:lineRule="auto"/>
        <w:ind w:left="33" w:hanging="317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E5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Решением о бюджете </w:t>
      </w:r>
      <w:proofErr w:type="spellStart"/>
      <w:r w:rsidRPr="00C85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Большелычакского</w:t>
      </w:r>
      <w:proofErr w:type="spellEnd"/>
      <w:r w:rsidRPr="00C85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C85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первоначально расходы бюджета утверждены в сумме 8850,4 тыс. рублей. Уточнённый годовой план составил 11459,9 тыс. рублей.</w:t>
      </w:r>
    </w:p>
    <w:p w:rsidR="002A2FFF" w:rsidRPr="00C85456" w:rsidRDefault="002A2FFF" w:rsidP="002A2F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бюджета за 2022 год исполнены в объеме 10357,5  тыс. рублей, что составило 89,7 % к утвержденному плану, </w:t>
      </w:r>
      <w:r w:rsidRPr="00C85456">
        <w:rPr>
          <w:rFonts w:ascii="Times New Roman" w:hAnsi="Times New Roman"/>
          <w:sz w:val="24"/>
          <w:szCs w:val="24"/>
        </w:rPr>
        <w:t>недофинансирование расходов бюджета составило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5456">
        <w:rPr>
          <w:rFonts w:ascii="Times New Roman" w:hAnsi="Times New Roman"/>
          <w:sz w:val="24"/>
          <w:szCs w:val="24"/>
        </w:rPr>
        <w:t>1102,4 тыс. рублей, в том числе по таким разделам, как,</w:t>
      </w:r>
      <w:r w:rsidRPr="00FE518F">
        <w:rPr>
          <w:rFonts w:ascii="Times New Roman" w:hAnsi="Times New Roman"/>
          <w:b/>
          <w:sz w:val="24"/>
          <w:szCs w:val="24"/>
        </w:rPr>
        <w:t xml:space="preserve"> </w:t>
      </w:r>
      <w:r w:rsidRPr="00C85456">
        <w:rPr>
          <w:rFonts w:ascii="Times New Roman" w:hAnsi="Times New Roman"/>
          <w:sz w:val="24"/>
          <w:szCs w:val="24"/>
        </w:rPr>
        <w:t xml:space="preserve">«Общегосударственные вопросы» 94,3 тыс. рублей, «Национальная безопасность» - 11,1 тыс. рублей,  «Национальная экономика» -913,9 тыс. рублей,  «Жилищно-коммунальное хозяйство» 5,5 тыс. рублей, «Культура – 77,4 тыс. рублей.        </w:t>
      </w:r>
      <w:proofErr w:type="gramEnd"/>
    </w:p>
    <w:p w:rsidR="002A2FFF" w:rsidRPr="00C85456" w:rsidRDefault="002A2FFF" w:rsidP="002A2F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56">
        <w:rPr>
          <w:rFonts w:ascii="Times New Roman" w:hAnsi="Times New Roman"/>
          <w:sz w:val="24"/>
          <w:szCs w:val="24"/>
        </w:rPr>
        <w:t xml:space="preserve">         </w:t>
      </w:r>
      <w:r w:rsidRPr="00C85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отчета в части исполнения расходов бюджета по разделам, подразделам бюджетной классификации представлен в таблице:</w:t>
      </w:r>
    </w:p>
    <w:p w:rsidR="002A2FFF" w:rsidRPr="00FE518F" w:rsidRDefault="002A2FFF" w:rsidP="002A2FFF">
      <w:pPr>
        <w:pStyle w:val="31"/>
        <w:spacing w:after="0" w:line="276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992"/>
        <w:gridCol w:w="993"/>
        <w:gridCol w:w="992"/>
        <w:gridCol w:w="992"/>
        <w:gridCol w:w="991"/>
        <w:gridCol w:w="991"/>
        <w:gridCol w:w="991"/>
      </w:tblGrid>
      <w:tr w:rsidR="002A2FFF" w:rsidRPr="00FE518F" w:rsidTr="00483FD8">
        <w:trPr>
          <w:trHeight w:val="498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Исполнение 2021года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Утверждено на 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Исполнение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Отклонение (гр4-гр.3)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Отклонение (гр.4—гр.2)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D1930">
              <w:rPr>
                <w:rFonts w:ascii="Times New Roman" w:hAnsi="Times New Roman" w:cs="Times New Roman"/>
              </w:rPr>
              <w:t>Структура,%</w:t>
            </w:r>
            <w:proofErr w:type="spellEnd"/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8</w:t>
            </w:r>
          </w:p>
        </w:tc>
      </w:tr>
      <w:tr w:rsidR="002A2FFF" w:rsidRPr="00FE518F" w:rsidTr="00483FD8">
        <w:trPr>
          <w:trHeight w:val="521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 xml:space="preserve">Общегосударственные вопросы: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2243,5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3302,2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+964,4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</w:p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-</w:t>
            </w:r>
            <w:r w:rsidRPr="003D1930">
              <w:rPr>
                <w:rFonts w:ascii="Times New Roman" w:hAnsi="Times New Roman"/>
                <w:bCs/>
                <w:sz w:val="22"/>
                <w:szCs w:val="22"/>
              </w:rPr>
              <w:t xml:space="preserve"> функционирование высшего должностного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709,3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-</w:t>
            </w:r>
            <w:r w:rsidRPr="003D1930">
              <w:rPr>
                <w:rFonts w:ascii="Times New Roman" w:hAnsi="Times New Roman"/>
                <w:bCs/>
                <w:sz w:val="22"/>
                <w:szCs w:val="22"/>
              </w:rPr>
              <w:t xml:space="preserve"> финансовое обеспечение администраций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1332,8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ind w:left="-250" w:firstLine="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ind w:left="-250" w:firstLine="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lastRenderedPageBreak/>
              <w:t>-архивный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 xml:space="preserve">-административная комиссия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-обеспечение деятельности финансовых, налоговых и таможнях органов и органов финансового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-о</w:t>
            </w:r>
            <w:r w:rsidRPr="003D19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-резервный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183,4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860,3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+640,0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Национальная безопасность и правоохранительная деятельность: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FFF" w:rsidRPr="003D1930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Национальная экономика: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3223,6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pStyle w:val="a4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2FFF" w:rsidRPr="003D1930" w:rsidRDefault="002A2FFF" w:rsidP="00483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3223,6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pStyle w:val="a4"/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-913,9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Жилищно-коммунальное хозяйство: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1321,1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+292,7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</w:tr>
      <w:tr w:rsidR="002A2FFF" w:rsidRPr="00FE518F" w:rsidTr="00483FD8">
        <w:trPr>
          <w:trHeight w:val="459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-коммунальное хозяйство</w:t>
            </w:r>
          </w:p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644,2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732,6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-благоустройство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676,9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 CYR" w:hAnsi="Times New Roman CYR" w:cs="Times New Roman CYR"/>
                <w:iCs/>
              </w:rPr>
            </w:pPr>
            <w:r>
              <w:rPr>
                <w:rFonts w:ascii="Times New Roman CYR" w:hAnsi="Times New Roman CYR" w:cs="Times New Roman CYR"/>
                <w:iCs/>
              </w:rPr>
              <w:t>886,7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+205,7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1643,0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+274,2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175,3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pStyle w:val="31"/>
              <w:widowControl w:val="0"/>
              <w:spacing w:after="0" w:line="27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1930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2A2FFF" w:rsidRPr="00FE518F" w:rsidTr="00483FD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FF" w:rsidRPr="003D1930" w:rsidRDefault="002A2FFF" w:rsidP="00483F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19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 w:rsidRPr="003D1930">
              <w:rPr>
                <w:rFonts w:ascii="Times New Roman" w:hAnsi="Times New Roman" w:cs="Times New Roman"/>
              </w:rPr>
              <w:t>8801,1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11459,9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-1102,4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+1556,4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FF" w:rsidRPr="003D1930" w:rsidRDefault="002A2FFF" w:rsidP="00483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2A2FFF" w:rsidRPr="00C85456" w:rsidRDefault="002A2FFF" w:rsidP="002A2FFF">
      <w:pPr>
        <w:autoSpaceDE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color w:val="303F50"/>
          <w:sz w:val="24"/>
          <w:szCs w:val="24"/>
        </w:rPr>
      </w:pPr>
      <w:r w:rsidRPr="00FE518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85456">
        <w:rPr>
          <w:rFonts w:ascii="Times New Roman" w:hAnsi="Times New Roman" w:cs="Times New Roman"/>
          <w:sz w:val="24"/>
          <w:szCs w:val="24"/>
        </w:rPr>
        <w:t xml:space="preserve">Согласно сведениям, приведенным в таблице, </w:t>
      </w:r>
      <w:proofErr w:type="spellStart"/>
      <w:r w:rsidRPr="00C85456">
        <w:rPr>
          <w:rFonts w:ascii="Times New Roman" w:hAnsi="Times New Roman" w:cs="Times New Roman"/>
          <w:sz w:val="24"/>
          <w:szCs w:val="24"/>
        </w:rPr>
        <w:t>Большелычакское</w:t>
      </w:r>
      <w:proofErr w:type="spellEnd"/>
      <w:r w:rsidRPr="00C85456">
        <w:rPr>
          <w:rFonts w:ascii="Times New Roman" w:hAnsi="Times New Roman" w:cs="Times New Roman"/>
          <w:sz w:val="24"/>
          <w:szCs w:val="24"/>
        </w:rPr>
        <w:t xml:space="preserve">  сельское поселение осуществляло расходы бюджета в пределах, утвержденных на 2022 год бюджетных ассигнований и лимитов бюджетных обязательств.</w:t>
      </w:r>
      <w:r w:rsidRPr="00C8545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таблицы, исполнение бюджетных ассигнований составило  11459,9 тыс. рублей или 89,7 % от назначений. По сравнению с 2021 годом расходы увеличились на 1556,4 тыс. рублей или на  17,7 %.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C854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разделу  0100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C854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«Общегосударственные вопросы»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бюджетные назначения исполнены в сумме 3207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>9 тыс. рублей (31,0 % в структуре всех расходов) или 97,1 % от плановых расходов.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структуре расходов бюджета на общегосударственные вопросы расходы на функционирование высшего должностного лица муниципального образования составили 740,7 тыс. рублей,  финансовое обеспечение администрации сельских поселений</w:t>
      </w:r>
      <w:r w:rsidRPr="00C85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8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- 1523,9 тыс. рублей, другие общегосударственные расходы – 823,4 тыс. рублей.  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56">
        <w:rPr>
          <w:rFonts w:ascii="Times New Roman" w:hAnsi="Times New Roman"/>
          <w:sz w:val="24"/>
          <w:szCs w:val="24"/>
        </w:rPr>
        <w:t xml:space="preserve">   </w:t>
      </w:r>
      <w:r w:rsidRPr="00C85456">
        <w:rPr>
          <w:rFonts w:ascii="Times New Roman" w:hAnsi="Times New Roman"/>
          <w:sz w:val="24"/>
          <w:szCs w:val="24"/>
        </w:rPr>
        <w:tab/>
        <w:t>Расходы на содержание административной комиссии предусмотрены в сумме  2,5 тыс. рублей,  фактическое финансирование   составило 2,4 тыс. рублей или 100 % к годовому плану.</w:t>
      </w:r>
    </w:p>
    <w:p w:rsidR="002A2FFF" w:rsidRPr="00C85456" w:rsidRDefault="002A2FFF" w:rsidP="002A2FFF">
      <w:p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</w:pPr>
      <w:r w:rsidRPr="00FE518F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</w:t>
      </w:r>
      <w:r w:rsidRPr="00FE518F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ab/>
      </w:r>
      <w:r w:rsidRPr="00C85456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 xml:space="preserve">В рамках заключенного соглашения между администрацией </w:t>
      </w:r>
      <w:proofErr w:type="spellStart"/>
      <w:r w:rsidRPr="00C85456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Большелычакского</w:t>
      </w:r>
      <w:proofErr w:type="spellEnd"/>
      <w:r w:rsidRPr="00C85456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 xml:space="preserve"> сельского поселения и администрации </w:t>
      </w:r>
      <w:proofErr w:type="spellStart"/>
      <w:r w:rsidRPr="00C85456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Фроловского</w:t>
      </w:r>
      <w:proofErr w:type="spellEnd"/>
      <w:r w:rsidRPr="00C85456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 xml:space="preserve"> муниципального района за хранение, комплектование и использование архивного</w:t>
      </w:r>
      <w:r w:rsidRPr="00FE518F">
        <w:rPr>
          <w:rFonts w:ascii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</w:t>
      </w:r>
      <w:r w:rsidRPr="00C85456">
        <w:rPr>
          <w:rFonts w:ascii="Times New Roman" w:hAnsi="Times New Roman" w:cs="Times New Roman"/>
          <w:bCs/>
          <w:kern w:val="0"/>
          <w:sz w:val="24"/>
          <w:szCs w:val="24"/>
          <w:lang w:eastAsia="ru-RU"/>
        </w:rPr>
        <w:t>фонда сельских поселений соглашение от 26.12.2016г. перечислено  8,2 тыс. рублей.</w:t>
      </w:r>
    </w:p>
    <w:p w:rsidR="002A2FFF" w:rsidRPr="00C8545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45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      - 0106 «Обеспечение деятельности финансовых органов, финансово - бюджетного надзора» расходы исполнены в сумме 7,3 тыс</w:t>
      </w:r>
      <w:proofErr w:type="gramStart"/>
      <w:r w:rsidRPr="00C8545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C85456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ублей или 100% к утвержденным бюджетным назначениям.  </w:t>
      </w:r>
    </w:p>
    <w:p w:rsidR="002A2FFF" w:rsidRPr="00556A0F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FE5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FE518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556A0F">
        <w:rPr>
          <w:rFonts w:ascii="Times New Roman" w:hAnsi="Times New Roman" w:cs="Times New Roman"/>
          <w:color w:val="000000"/>
          <w:sz w:val="24"/>
          <w:szCs w:val="24"/>
        </w:rPr>
        <w:t xml:space="preserve">Между Советом депутатов </w:t>
      </w:r>
      <w:proofErr w:type="spellStart"/>
      <w:r w:rsidRPr="00556A0F">
        <w:rPr>
          <w:rFonts w:ascii="Times New Roman" w:hAnsi="Times New Roman" w:cs="Times New Roman"/>
          <w:color w:val="000000"/>
          <w:sz w:val="24"/>
          <w:szCs w:val="24"/>
        </w:rPr>
        <w:t>Большелычакского</w:t>
      </w:r>
      <w:proofErr w:type="spellEnd"/>
      <w:r w:rsidRPr="00556A0F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и контрольно-счетной палатой </w:t>
      </w:r>
      <w:proofErr w:type="spellStart"/>
      <w:r w:rsidRPr="00556A0F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556A0F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заключены соглашения о передаче полномочий по осуществлению внешнего муниципального финансового контроля </w:t>
      </w:r>
      <w:r w:rsidRPr="00556A0F">
        <w:rPr>
          <w:rFonts w:ascii="Times New Roman" w:hAnsi="Times New Roman" w:cs="Times New Roman"/>
          <w:kern w:val="0"/>
          <w:sz w:val="24"/>
          <w:szCs w:val="24"/>
          <w:lang w:eastAsia="ru-RU"/>
        </w:rPr>
        <w:t>№ 2 от 27.12.2021 г. – 3,1 тыс. рублей</w:t>
      </w:r>
      <w:r w:rsidRPr="00556A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6A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6A0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финансовым отделом администрации </w:t>
      </w:r>
      <w:proofErr w:type="spellStart"/>
      <w:r w:rsidRPr="00556A0F">
        <w:rPr>
          <w:rFonts w:ascii="Times New Roman" w:hAnsi="Times New Roman" w:cs="Times New Roman"/>
          <w:kern w:val="0"/>
          <w:sz w:val="24"/>
          <w:szCs w:val="24"/>
          <w:lang w:eastAsia="ru-RU"/>
        </w:rPr>
        <w:t>Фроловского</w:t>
      </w:r>
      <w:proofErr w:type="spellEnd"/>
      <w:r w:rsidRPr="00556A0F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 муниципального района по формированию и организации исполнения.</w:t>
      </w:r>
    </w:p>
    <w:p w:rsidR="002A2FFF" w:rsidRPr="00556A0F" w:rsidRDefault="002A2FFF" w:rsidP="002A2F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03F50"/>
          <w:sz w:val="24"/>
          <w:szCs w:val="24"/>
        </w:rPr>
      </w:pPr>
      <w:proofErr w:type="gramStart"/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Расходование средств </w:t>
      </w:r>
      <w:bookmarkStart w:id="0" w:name="_Hlk34053699"/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по разделу 0100</w:t>
      </w:r>
      <w:r w:rsidRPr="00556A0F">
        <w:rPr>
          <w:rFonts w:ascii="Times New Roman" w:hAnsi="Times New Roman" w:cs="Times New Roman"/>
          <w:iCs/>
          <w:sz w:val="24"/>
          <w:szCs w:val="24"/>
          <w:shd w:val="clear" w:color="auto" w:fill="FEFFFE"/>
          <w:lang w:bidi="he-IL"/>
        </w:rPr>
        <w:t xml:space="preserve">«Общегосударственные вопросы» </w:t>
      </w:r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произведено в пределах установленных величин, </w:t>
      </w:r>
      <w:bookmarkEnd w:id="0"/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согласно постановлению Администрации Волгоградской области от 13.01.2022 г. № 4-п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2022 год».</w:t>
      </w:r>
      <w:proofErr w:type="gramEnd"/>
      <w:r w:rsidRPr="00556A0F">
        <w:rPr>
          <w:shd w:val="clear" w:color="auto" w:fill="FEFFFE"/>
          <w:lang w:bidi="he-IL"/>
        </w:rPr>
        <w:t xml:space="preserve"> </w:t>
      </w:r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Данным постановлением утвержден норматив для </w:t>
      </w:r>
      <w:proofErr w:type="spellStart"/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Большелычакского</w:t>
      </w:r>
      <w:proofErr w:type="spellEnd"/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 сельского поселения в сумме 2366,0 тыс</w:t>
      </w:r>
      <w:proofErr w:type="gramStart"/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.р</w:t>
      </w:r>
      <w:proofErr w:type="gramEnd"/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ублей.</w:t>
      </w:r>
      <w:r w:rsidRPr="00556A0F">
        <w:rPr>
          <w:shd w:val="clear" w:color="auto" w:fill="FEFFFE"/>
          <w:lang w:bidi="he-IL"/>
        </w:rPr>
        <w:t xml:space="preserve"> </w:t>
      </w:r>
      <w:r w:rsidRPr="00556A0F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Фактические расходы составили 2280,1 тыс. рублей.</w:t>
      </w:r>
      <w:r w:rsidRPr="00556A0F">
        <w:rPr>
          <w:shd w:val="clear" w:color="auto" w:fill="FEFFFE"/>
          <w:lang w:bidi="he-IL"/>
        </w:rPr>
        <w:t xml:space="preserve"> </w:t>
      </w:r>
      <w:r w:rsidRPr="00556A0F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Превышения установленного норматива  (2366,0 тыс. рублей) над произведенными   расходами   не установлено.</w:t>
      </w:r>
    </w:p>
    <w:p w:rsidR="002A2FFF" w:rsidRPr="00556A0F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Бюджетные ассигнования по разделу </w:t>
      </w:r>
      <w:r w:rsidRPr="00556A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0200 «Национальная оборона»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исполнены в сумме 93,2 тыс. рублей, что составляет 100 % к плановым назначениям. Расходы произведены за счет субвенции из бюджета Волгоградской области на осуществление воинского учета, где отсутствуют военные комиссариаты.</w:t>
      </w:r>
    </w:p>
    <w:p w:rsidR="002A2FFF" w:rsidRPr="00556A0F" w:rsidRDefault="002A2FFF" w:rsidP="002A2F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56A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структуре расходов бюджета данный раздел составляет 0,9 %.</w:t>
      </w:r>
    </w:p>
    <w:p w:rsidR="002A2FFF" w:rsidRPr="00556A0F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по разделу </w:t>
      </w:r>
      <w:r w:rsidRPr="0055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0300 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6A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«Национальная безопасность и правоохранительная деятельность»  по подразделу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E15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0310 «</w:t>
      </w:r>
      <w:r w:rsidRPr="00DE1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DE15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  <w:r w:rsidRPr="00DE1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исполнены 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68,9 тыс. рублей   или 86,1 % плановых назначений 2022 года. В структуре расходов бюджета данный раздел составляет 0,8 %.</w:t>
      </w:r>
    </w:p>
    <w:p w:rsidR="002A2FFF" w:rsidRPr="00556A0F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разделу </w:t>
      </w:r>
      <w:r w:rsidRPr="00556A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0400 </w:t>
      </w:r>
      <w:r w:rsidRPr="00556A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«Национальная экономика»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подразделу 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>0409 «Дорожное хозяйство»</w:t>
      </w:r>
      <w:r w:rsidRPr="0055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составили</w:t>
      </w:r>
      <w:r w:rsidRPr="0055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3176,1 тыс. рублей или 77,7 % утвержденных бюджетных назначений, в том числе:</w:t>
      </w:r>
    </w:p>
    <w:p w:rsidR="002A2FFF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- 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ведомственной программы «Повышение безопасности дорожного движения на территории </w:t>
      </w:r>
      <w:proofErr w:type="spellStart"/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Большелычакского</w:t>
      </w:r>
      <w:proofErr w:type="spellEnd"/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2021-2023 годы»  исполнены в сумме 2768,0 тыс. рублей или 97,2 % утвержденных бюджетных назначений;  </w:t>
      </w:r>
    </w:p>
    <w:p w:rsidR="002A2FFF" w:rsidRPr="003A5007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расходы на мероприятия по использованию дорожного фонда в рамках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4E4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- 304,6 тыс. рублей  или 99,6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утвержденных бюджетных назначений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(305,8 тыс. рублей)</w:t>
      </w:r>
    </w:p>
    <w:p w:rsidR="002A2FFF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</w:p>
    <w:p w:rsidR="002A2FFF" w:rsidRPr="0079698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относительно  2021 года расходы по подразделу уменьшились на 47,5 тыс. рублей.   </w:t>
      </w:r>
    </w:p>
    <w:p w:rsidR="002A2FFF" w:rsidRPr="0079698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7969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 </w:t>
      </w:r>
      <w:r w:rsidRPr="007969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разделу 0500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69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«Жилищно-коммунальное хозяйство»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исполнены в сумме 1613,8  тыс. рублей, или 99,7 % от плановых назначений 2022 года. В структуре расходов бюджета данный раздел составляет 15,6 %:</w:t>
      </w:r>
    </w:p>
    <w:p w:rsidR="002A2FFF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подразделу </w:t>
      </w:r>
      <w:r w:rsidRPr="007969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0502 «Коммунальное хозяйство»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731,2 тыс. рублей или 99,8</w:t>
      </w:r>
      <w:r w:rsidRPr="00556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утвержденных бюджетных назначений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2FFF" w:rsidRPr="00796986" w:rsidRDefault="002A2FFF" w:rsidP="002A2FFF">
      <w:pPr>
        <w:shd w:val="clear" w:color="auto" w:fill="FFFFFF"/>
        <w:tabs>
          <w:tab w:val="left" w:pos="9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расходы 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содержание и ремонт водоснабжения исполнены в рамках ведомственной программы «Развитие жилищно-коммунального хозяйства на территории </w:t>
      </w:r>
      <w:proofErr w:type="spellStart"/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Большелычакского</w:t>
      </w:r>
      <w:proofErr w:type="spellEnd"/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2020-2022 годы»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164,1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(99,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плану)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7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FFF" w:rsidRPr="0079698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969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асходы по компенсации (возмещению) выпадающих убытков </w:t>
      </w:r>
      <w:proofErr w:type="spellStart"/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– 567,1 тыс. рублей или 100,0 % к утвержденным бюджетным назначениям.</w:t>
      </w:r>
    </w:p>
    <w:p w:rsidR="002A2FFF" w:rsidRPr="0079698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сравнении с 2021 годом расходы увеличились на 87,0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2FFF" w:rsidRPr="0079698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по подразделу </w:t>
      </w:r>
      <w:r w:rsidRPr="007969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0503 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969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Благоустройство» 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исполнены в размере 882,6 тыс. рублей (99,5 % к плану):</w:t>
      </w:r>
    </w:p>
    <w:p w:rsidR="002A2FFF" w:rsidRPr="00176861" w:rsidRDefault="002A2FFF" w:rsidP="002A2F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E5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861">
        <w:rPr>
          <w:rFonts w:ascii="Times New Roman" w:hAnsi="Times New Roman" w:cs="Times New Roman"/>
          <w:sz w:val="24"/>
          <w:szCs w:val="24"/>
        </w:rPr>
        <w:t xml:space="preserve">- </w:t>
      </w:r>
      <w:r w:rsidRPr="0017686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расходы на содержание мест захоронения  - 580,9 тыс. рублей </w:t>
      </w:r>
      <w:r w:rsidRPr="0079698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>99.9</w:t>
      </w:r>
      <w:r w:rsidRPr="00796986">
        <w:rPr>
          <w:rFonts w:ascii="Times New Roman" w:eastAsia="Times New Roman" w:hAnsi="Times New Roman" w:cs="Times New Roman"/>
          <w:sz w:val="24"/>
          <w:szCs w:val="24"/>
        </w:rPr>
        <w:t xml:space="preserve"> % к утвержденным бюджетным назначениям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(581,1 тыс. рублей);</w:t>
      </w:r>
      <w:r w:rsidRPr="0017686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</w:t>
      </w:r>
    </w:p>
    <w:p w:rsidR="002A2FFF" w:rsidRDefault="002A2FFF" w:rsidP="002A2F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FE518F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    </w:t>
      </w:r>
      <w:r w:rsidRPr="00176861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 - </w:t>
      </w:r>
      <w:r w:rsidRPr="0017686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расходы  на  мероприятия по благоустройству – 129,7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тыс. рублей</w:t>
      </w:r>
      <w:r w:rsidRPr="00F81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6986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sz w:val="24"/>
          <w:szCs w:val="24"/>
        </w:rPr>
        <w:t>97,1</w:t>
      </w:r>
      <w:r w:rsidRPr="00796986">
        <w:rPr>
          <w:rFonts w:ascii="Times New Roman" w:eastAsia="Times New Roman" w:hAnsi="Times New Roman" w:cs="Times New Roman"/>
          <w:sz w:val="24"/>
          <w:szCs w:val="24"/>
        </w:rPr>
        <w:t xml:space="preserve"> % к утвержденным бюджетным назначениям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(133,7 тыс. рублей);</w:t>
      </w:r>
    </w:p>
    <w:p w:rsidR="002A2FFF" w:rsidRDefault="002A2FFF" w:rsidP="002A2FFF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</w:t>
      </w:r>
    </w:p>
    <w:p w:rsidR="002A2FFF" w:rsidRPr="00796986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- расходы на содержание объектов благоустройства за счет субсидий из областного бюджета - 171,9 тыс. рублей</w:t>
      </w:r>
      <w:r w:rsidRPr="00F8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69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100,0 % к утвержденным бюджетным назначениям.</w:t>
      </w:r>
    </w:p>
    <w:p w:rsidR="002A2FFF" w:rsidRPr="00176861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 2021 года расходы по разделу увеличились на 292,7 тыс. рублей. </w:t>
      </w:r>
    </w:p>
    <w:p w:rsidR="002A2FFF" w:rsidRPr="00176861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по разделу </w:t>
      </w:r>
      <w:r w:rsidRPr="00176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0800 </w:t>
      </w:r>
      <w:r w:rsidRPr="0017686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«Культура и кинематография»</w:t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составила  1917,2 тыс. рублей  (96,1 %  плана) на реализацию ведомственных программ:</w:t>
      </w:r>
    </w:p>
    <w:p w:rsidR="002A2FFF" w:rsidRPr="00176861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культуры в </w:t>
      </w:r>
      <w:proofErr w:type="spellStart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Большелычакском</w:t>
      </w:r>
      <w:proofErr w:type="spellEnd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2020-2022гг.» - 1460,3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рублей, </w:t>
      </w:r>
      <w:r w:rsidRPr="0017686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в</w:t>
      </w:r>
      <w:r w:rsidRPr="00176861">
        <w:rPr>
          <w:shd w:val="clear" w:color="auto" w:fill="FEFFFE"/>
          <w:lang w:bidi="he-IL"/>
        </w:rPr>
        <w:t xml:space="preserve"> </w:t>
      </w:r>
      <w:r w:rsidRPr="0017686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том числе на оплату труда с начислениями на нее – 859,8 тыс. рублей;</w:t>
      </w:r>
    </w:p>
    <w:p w:rsidR="002A2FFF" w:rsidRPr="00176861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библиотечного дела на территории   </w:t>
      </w:r>
      <w:proofErr w:type="spellStart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Большелычакского</w:t>
      </w:r>
      <w:proofErr w:type="spellEnd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2020-2022гг.» - 456,9  тыс. рублей,</w:t>
      </w:r>
      <w:r w:rsidRPr="0017686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 xml:space="preserve"> в</w:t>
      </w:r>
      <w:r w:rsidRPr="00176861">
        <w:rPr>
          <w:shd w:val="clear" w:color="auto" w:fill="FEFFFE"/>
          <w:lang w:bidi="he-IL"/>
        </w:rPr>
        <w:t xml:space="preserve"> </w:t>
      </w:r>
      <w:r w:rsidRPr="00176861">
        <w:rPr>
          <w:rFonts w:ascii="Times New Roman" w:hAnsi="Times New Roman" w:cs="Times New Roman"/>
          <w:sz w:val="24"/>
          <w:szCs w:val="24"/>
          <w:shd w:val="clear" w:color="auto" w:fill="FEFFFE"/>
          <w:lang w:bidi="he-IL"/>
        </w:rPr>
        <w:t>том числе на оплату труда с начислениями на нее – 293,9 тыс. рублей.</w:t>
      </w:r>
    </w:p>
    <w:p w:rsidR="002A2FFF" w:rsidRPr="00176861" w:rsidRDefault="002A2FFF" w:rsidP="002A2FFF">
      <w:pPr>
        <w:shd w:val="clear" w:color="auto" w:fill="FFFFFF"/>
        <w:tabs>
          <w:tab w:val="left" w:pos="27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общей структуре расходов   данный раздел  составляет 18,5 %.</w:t>
      </w:r>
    </w:p>
    <w:p w:rsidR="002A2FFF" w:rsidRPr="00FE518F" w:rsidRDefault="002A2FFF" w:rsidP="002A2FFF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176861">
        <w:rPr>
          <w:rFonts w:ascii="Times New Roman" w:hAnsi="Times New Roman"/>
          <w:sz w:val="24"/>
          <w:szCs w:val="24"/>
        </w:rPr>
        <w:t>По подразделу 1001 «Пенсионное обеспечение населения»   исполнение произведено в пределах бюджетных назначений и составило 260,4  тыс. рублей или 99,9 % к утвержденным  назначениям (260,6 тыс. рублей).</w:t>
      </w:r>
      <w:r w:rsidRPr="00FE518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2FFF" w:rsidRPr="00176861" w:rsidRDefault="002A2FFF" w:rsidP="002A2FF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686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</w:t>
      </w:r>
      <w:r w:rsidRPr="00176861">
        <w:rPr>
          <w:rFonts w:ascii="Times New Roman" w:hAnsi="Times New Roman" w:cs="Times New Roman"/>
          <w:sz w:val="24"/>
          <w:szCs w:val="24"/>
          <w:lang w:eastAsia="en-US"/>
        </w:rPr>
        <w:t>По подразделу 1202 «Периодическая печать и издательства</w:t>
      </w:r>
      <w:r w:rsidRPr="00176861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176861">
        <w:rPr>
          <w:rFonts w:ascii="Times New Roman" w:hAnsi="Times New Roman" w:cs="Times New Roman"/>
          <w:sz w:val="24"/>
          <w:szCs w:val="24"/>
          <w:lang w:eastAsia="en-US"/>
        </w:rPr>
        <w:t>расходы</w:t>
      </w:r>
      <w:r w:rsidRPr="00176861">
        <w:rPr>
          <w:rFonts w:ascii="Times New Roman" w:hAnsi="Times New Roman" w:cs="Times New Roman"/>
          <w:sz w:val="24"/>
          <w:szCs w:val="24"/>
          <w:lang w:eastAsia="ar-SA"/>
        </w:rPr>
        <w:t xml:space="preserve"> исполнены в пределах бюджетных назначений 20,0 тыс. рублей и направлены на официальное опубликование документов по договору с МБУ «Редакция газеты «</w:t>
      </w:r>
      <w:proofErr w:type="spellStart"/>
      <w:r w:rsidRPr="00176861">
        <w:rPr>
          <w:rFonts w:ascii="Times New Roman" w:hAnsi="Times New Roman" w:cs="Times New Roman"/>
          <w:sz w:val="24"/>
          <w:szCs w:val="24"/>
          <w:lang w:eastAsia="ar-SA"/>
        </w:rPr>
        <w:t>Фроловские</w:t>
      </w:r>
      <w:proofErr w:type="spellEnd"/>
      <w:r w:rsidRPr="00176861">
        <w:rPr>
          <w:rFonts w:ascii="Times New Roman" w:hAnsi="Times New Roman" w:cs="Times New Roman"/>
          <w:sz w:val="24"/>
          <w:szCs w:val="24"/>
          <w:lang w:eastAsia="ar-SA"/>
        </w:rPr>
        <w:t xml:space="preserve"> вести» (за информационные услуги).  </w:t>
      </w:r>
      <w:r w:rsidRPr="00176861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</w:p>
    <w:p w:rsidR="002A2FFF" w:rsidRPr="00F74CDB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на реализацию </w:t>
      </w:r>
      <w:r w:rsidRPr="00564F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ведомственных целевых программ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2022 году было затрачено</w:t>
      </w:r>
      <w:r w:rsidRPr="00564F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t>4849,3 тыс. рублей,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18E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96,8 % от плановых назначений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74CDB">
        <w:rPr>
          <w:rFonts w:ascii="Times New Roman" w:eastAsia="Times New Roman" w:hAnsi="Times New Roman" w:cs="Times New Roman"/>
          <w:sz w:val="24"/>
          <w:szCs w:val="24"/>
          <w:lang w:eastAsia="ru-RU"/>
        </w:rPr>
        <w:t>(5008,4 тыс. рублей), в том числе на реализацию ведомственных программ:</w:t>
      </w:r>
    </w:p>
    <w:p w:rsidR="002A2FFF" w:rsidRPr="004418E2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«Повышение безопасности дорожного движения на территории </w:t>
      </w:r>
      <w:proofErr w:type="spellStart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Большелычакского</w:t>
      </w:r>
      <w:proofErr w:type="spellEnd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2021-2023 годы»  расходы составили 2768,0 тыс. рублей или 97,2 % утвержденных бюджетных назначений</w:t>
      </w:r>
      <w:r w:rsidRPr="0017686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18E2">
        <w:rPr>
          <w:rFonts w:ascii="Times New Roman" w:eastAsia="Times New Roman" w:hAnsi="Times New Roman" w:cs="Times New Roman"/>
          <w:sz w:val="24"/>
          <w:szCs w:val="24"/>
          <w:lang w:eastAsia="ru-RU"/>
        </w:rPr>
        <w:t>57,1 % от общих расходов на реализацию целевых программ;</w:t>
      </w:r>
    </w:p>
    <w:p w:rsidR="002A2FFF" w:rsidRPr="004418E2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«</w:t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жилищно-коммунального хозяйства на территории </w:t>
      </w:r>
      <w:proofErr w:type="spellStart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Большелычакского</w:t>
      </w:r>
      <w:proofErr w:type="spellEnd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2020-2022 годы» в сумме 164,1 тыс. рублей (99,1 % к плану) и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18E2">
        <w:rPr>
          <w:rFonts w:ascii="Times New Roman" w:eastAsia="Times New Roman" w:hAnsi="Times New Roman" w:cs="Times New Roman"/>
          <w:sz w:val="24"/>
          <w:szCs w:val="24"/>
          <w:lang w:eastAsia="ru-RU"/>
        </w:rPr>
        <w:t>3,4 % от общих расходов на реализацию целевых программ;</w:t>
      </w:r>
    </w:p>
    <w:p w:rsidR="002A2FFF" w:rsidRPr="004418E2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«</w:t>
      </w:r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в </w:t>
      </w:r>
      <w:proofErr w:type="spellStart"/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Большелычакском</w:t>
      </w:r>
      <w:proofErr w:type="spellEnd"/>
      <w:r w:rsidRPr="0056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2020-2022гг.» - 1460,3  тыс. рублей или 95,7 % от уточненных плановых назначений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18E2">
        <w:rPr>
          <w:rFonts w:ascii="Times New Roman" w:eastAsia="Times New Roman" w:hAnsi="Times New Roman" w:cs="Times New Roman"/>
          <w:sz w:val="24"/>
          <w:szCs w:val="24"/>
          <w:lang w:eastAsia="ru-RU"/>
        </w:rPr>
        <w:t>и 30,1 % от общих расходов на реализацию целевых программ;</w:t>
      </w:r>
    </w:p>
    <w:p w:rsidR="002A2FFF" w:rsidRPr="004418E2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518F">
        <w:rPr>
          <w:rFonts w:ascii="Times New Roman" w:hAnsi="Times New Roman" w:cs="Times New Roman"/>
          <w:b/>
          <w:sz w:val="24"/>
          <w:szCs w:val="24"/>
          <w:shd w:val="clear" w:color="auto" w:fill="FEFFFE"/>
          <w:lang w:bidi="he-IL"/>
        </w:rPr>
        <w:t xml:space="preserve"> </w:t>
      </w:r>
      <w:r w:rsidRPr="00FE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«</w:t>
      </w:r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библиотечного дела на территории  </w:t>
      </w:r>
      <w:proofErr w:type="spellStart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Большелычакского</w:t>
      </w:r>
      <w:proofErr w:type="spellEnd"/>
      <w:r w:rsidRPr="00176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 2020-2022гг.» - 456,9  тыс. </w:t>
      </w:r>
      <w:r w:rsidRPr="004418E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441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418E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97,4% от уточненных плановых назначений и 9,4 % от общих расходов на реализацию целевых программ</w:t>
      </w:r>
      <w:r w:rsidRPr="004418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A2FFF" w:rsidRPr="00FE518F" w:rsidRDefault="002A2FFF" w:rsidP="002A2F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2FFF" w:rsidRDefault="002A2FFF" w:rsidP="00483FD8">
      <w:pPr>
        <w:autoSpaceDE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441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8E2">
        <w:rPr>
          <w:rFonts w:ascii="Times New Roman" w:hAnsi="Times New Roman" w:cs="Times New Roman"/>
          <w:sz w:val="24"/>
          <w:szCs w:val="24"/>
        </w:rPr>
        <w:t xml:space="preserve">        Дебиторская  задолженность по данным годовой бюджетной отчетности (ф. 0503169 «Сведения по дебиторской и кредиторской задолженности) на   01.01.2023 </w:t>
      </w:r>
      <w:r w:rsidRPr="004418E2">
        <w:rPr>
          <w:rFonts w:ascii="Times New Roman" w:eastAsiaTheme="minorEastAsia" w:hAnsi="Times New Roman" w:cs="Times New Roman"/>
          <w:sz w:val="24"/>
          <w:szCs w:val="24"/>
        </w:rPr>
        <w:t xml:space="preserve"> составила</w:t>
      </w:r>
      <w:r w:rsidRPr="004418E2">
        <w:rPr>
          <w:rFonts w:ascii="Times New Roman" w:hAnsi="Times New Roman" w:cs="Times New Roman"/>
          <w:sz w:val="24"/>
          <w:szCs w:val="24"/>
        </w:rPr>
        <w:t xml:space="preserve"> </w:t>
      </w:r>
      <w:r w:rsidRPr="00FE51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в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е 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2,0 тыс. рублей: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proofErr w:type="gramStart"/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kern w:val="18"/>
          <w:sz w:val="24"/>
          <w:szCs w:val="24"/>
        </w:rPr>
        <w:t>«</w:t>
      </w:r>
      <w:proofErr w:type="spellStart"/>
      <w:r w:rsidRPr="00A86868">
        <w:rPr>
          <w:rFonts w:ascii="Times New Roman" w:hAnsi="Times New Roman" w:cs="Times New Roman"/>
          <w:kern w:val="18"/>
          <w:sz w:val="24"/>
          <w:szCs w:val="24"/>
        </w:rPr>
        <w:t>Газпроммежрегионгаз</w:t>
      </w:r>
      <w:proofErr w:type="spellEnd"/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Волгоград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» 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1,2 тыс. рублей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ООО </w:t>
      </w:r>
      <w:r>
        <w:rPr>
          <w:rFonts w:ascii="Times New Roman" w:hAnsi="Times New Roman" w:cs="Times New Roman"/>
          <w:kern w:val="18"/>
          <w:sz w:val="24"/>
          <w:szCs w:val="24"/>
        </w:rPr>
        <w:t>«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>Волжская топливная компания</w:t>
      </w:r>
      <w:r>
        <w:rPr>
          <w:rFonts w:ascii="Times New Roman" w:hAnsi="Times New Roman" w:cs="Times New Roman"/>
          <w:kern w:val="18"/>
          <w:sz w:val="24"/>
          <w:szCs w:val="24"/>
        </w:rPr>
        <w:t>»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0,8 тыс. рублей.</w:t>
      </w:r>
      <w:proofErr w:type="gramEnd"/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  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К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>редиторская задолженность в размере 4</w:t>
      </w:r>
      <w:r>
        <w:rPr>
          <w:rFonts w:ascii="Times New Roman" w:hAnsi="Times New Roman" w:cs="Times New Roman"/>
          <w:kern w:val="18"/>
          <w:sz w:val="24"/>
          <w:szCs w:val="24"/>
        </w:rPr>
        <w:t>,9 тыс. рублей: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ПАО </w:t>
      </w:r>
      <w:r>
        <w:rPr>
          <w:rFonts w:ascii="Times New Roman" w:hAnsi="Times New Roman" w:cs="Times New Roman"/>
          <w:kern w:val="18"/>
          <w:sz w:val="24"/>
          <w:szCs w:val="24"/>
        </w:rPr>
        <w:t>«</w:t>
      </w:r>
      <w:proofErr w:type="spellStart"/>
      <w:r w:rsidRPr="00A86868">
        <w:rPr>
          <w:rFonts w:ascii="Times New Roman" w:hAnsi="Times New Roman" w:cs="Times New Roman"/>
          <w:kern w:val="18"/>
          <w:sz w:val="24"/>
          <w:szCs w:val="24"/>
        </w:rPr>
        <w:t>Волгоградэнергосбыт</w:t>
      </w:r>
      <w:proofErr w:type="spellEnd"/>
      <w:r>
        <w:rPr>
          <w:rFonts w:ascii="Times New Roman" w:hAnsi="Times New Roman" w:cs="Times New Roman"/>
          <w:kern w:val="18"/>
          <w:sz w:val="24"/>
          <w:szCs w:val="24"/>
        </w:rPr>
        <w:t>» – 1,5 тыс. рублей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t xml:space="preserve"> ПАО </w:t>
      </w:r>
      <w:r>
        <w:rPr>
          <w:rFonts w:ascii="Times New Roman" w:hAnsi="Times New Roman" w:cs="Times New Roman"/>
          <w:kern w:val="18"/>
          <w:sz w:val="24"/>
          <w:szCs w:val="24"/>
        </w:rPr>
        <w:t>«</w:t>
      </w:r>
      <w:proofErr w:type="spellStart"/>
      <w:r w:rsidRPr="00A86868">
        <w:rPr>
          <w:rFonts w:ascii="Times New Roman" w:hAnsi="Times New Roman" w:cs="Times New Roman"/>
          <w:kern w:val="18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kern w:val="18"/>
          <w:sz w:val="24"/>
          <w:szCs w:val="24"/>
        </w:rPr>
        <w:t>» – 3,4 тыс.</w:t>
      </w:r>
      <w:r w:rsidR="00483FD8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8"/>
          <w:sz w:val="24"/>
          <w:szCs w:val="24"/>
        </w:rPr>
        <w:t>рублей</w:t>
      </w:r>
      <w:r w:rsidRPr="00A86868">
        <w:rPr>
          <w:rFonts w:ascii="Times New Roman" w:hAnsi="Times New Roman" w:cs="Times New Roman"/>
          <w:kern w:val="18"/>
          <w:sz w:val="24"/>
          <w:szCs w:val="24"/>
        </w:rPr>
        <w:br/>
      </w:r>
      <w:r w:rsidRPr="00FE5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18F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4418E2">
        <w:rPr>
          <w:rFonts w:ascii="Times New Roman" w:hAnsi="Times New Roman" w:cs="Times New Roman"/>
          <w:sz w:val="24"/>
          <w:szCs w:val="24"/>
        </w:rPr>
        <w:t>Просроченная дебиторская и кредиторская задолженность на 01.01.2023г.  отсутствует.</w:t>
      </w:r>
    </w:p>
    <w:p w:rsidR="00483FD8" w:rsidRPr="004418E2" w:rsidRDefault="00483FD8" w:rsidP="00483FD8">
      <w:pPr>
        <w:autoSpaceDE w:val="0"/>
        <w:adjustRightInd w:val="0"/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</w:p>
    <w:p w:rsidR="002A2FFF" w:rsidRDefault="002A2FFF" w:rsidP="002A2F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70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Заключение</w:t>
      </w:r>
    </w:p>
    <w:p w:rsidR="00483FD8" w:rsidRPr="00637702" w:rsidRDefault="00483FD8" w:rsidP="002A2F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2FFF" w:rsidRPr="00637702" w:rsidRDefault="002A2FFF" w:rsidP="002A2FFF">
      <w:pPr>
        <w:autoSpaceDE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3770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37702">
        <w:rPr>
          <w:rFonts w:ascii="Times New Roman" w:hAnsi="Times New Roman" w:cs="Times New Roman"/>
          <w:sz w:val="24"/>
          <w:szCs w:val="24"/>
        </w:rPr>
        <w:t xml:space="preserve">В ходе проведенной проверки установлено, что представленная администрацией  </w:t>
      </w:r>
      <w:proofErr w:type="spellStart"/>
      <w:r w:rsidRPr="00637702">
        <w:rPr>
          <w:rFonts w:ascii="Times New Roman" w:hAnsi="Times New Roman" w:cs="Times New Roman"/>
          <w:sz w:val="24"/>
          <w:szCs w:val="24"/>
        </w:rPr>
        <w:t>Большелычакского</w:t>
      </w:r>
      <w:proofErr w:type="spellEnd"/>
      <w:r w:rsidRPr="006377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37702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637702">
        <w:rPr>
          <w:rFonts w:ascii="Times New Roman" w:hAnsi="Times New Roman" w:cs="Times New Roman"/>
          <w:sz w:val="24"/>
          <w:szCs w:val="24"/>
        </w:rPr>
        <w:t xml:space="preserve"> муниципального района как главным администратором бюджетных средств бюджетная отчетность за 2022 год соответствует требованиям п.3 ст. 264.1 Бюджетного кодекса РФ и п. 11.1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РФ от 28.12.2010</w:t>
      </w:r>
      <w:proofErr w:type="gramEnd"/>
      <w:r w:rsidRPr="00637702">
        <w:rPr>
          <w:rFonts w:ascii="Times New Roman" w:hAnsi="Times New Roman" w:cs="Times New Roman"/>
          <w:sz w:val="24"/>
          <w:szCs w:val="24"/>
        </w:rPr>
        <w:t xml:space="preserve"> №191н (далее – Инструкции № 191н).  </w:t>
      </w:r>
    </w:p>
    <w:p w:rsidR="002A2FFF" w:rsidRPr="00637702" w:rsidRDefault="002A2FFF" w:rsidP="002A2F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702">
        <w:rPr>
          <w:rFonts w:ascii="Times New Roman" w:hAnsi="Times New Roman" w:cs="Times New Roman"/>
          <w:sz w:val="24"/>
          <w:szCs w:val="24"/>
        </w:rPr>
        <w:t xml:space="preserve">       При проверке форм годового отчета нарушений, которые повлияли на достоверность и сбалансированность годовой отчетности за 2022 год не выявлено.</w:t>
      </w:r>
    </w:p>
    <w:p w:rsidR="002A2FFF" w:rsidRPr="00637702" w:rsidRDefault="002A2FFF" w:rsidP="002A2FF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A2FFF" w:rsidRPr="00E51A75" w:rsidRDefault="002A2FFF" w:rsidP="002A2FFF">
      <w:pPr>
        <w:pStyle w:val="a5"/>
        <w:spacing w:line="240" w:lineRule="auto"/>
        <w:jc w:val="both"/>
      </w:pPr>
      <w:r w:rsidRPr="00E51A75">
        <w:t>Ведущий инспектор контрольно-счетной палаты</w:t>
      </w:r>
    </w:p>
    <w:p w:rsidR="002A2FFF" w:rsidRPr="00E51A75" w:rsidRDefault="002A2FFF" w:rsidP="002A2FFF">
      <w:pPr>
        <w:pStyle w:val="a5"/>
        <w:spacing w:line="240" w:lineRule="auto"/>
        <w:jc w:val="both"/>
      </w:pPr>
      <w:proofErr w:type="spellStart"/>
      <w:r w:rsidRPr="00E51A75">
        <w:t>Фроловского</w:t>
      </w:r>
      <w:proofErr w:type="spellEnd"/>
      <w:r w:rsidRPr="00E51A75">
        <w:t xml:space="preserve"> муниципального района                                                   Г.В. </w:t>
      </w:r>
      <w:proofErr w:type="spellStart"/>
      <w:r w:rsidRPr="00E51A75">
        <w:t>Игнаткина</w:t>
      </w:r>
      <w:proofErr w:type="spellEnd"/>
    </w:p>
    <w:p w:rsidR="002A2FFF" w:rsidRPr="00E51A75" w:rsidRDefault="002A2FFF" w:rsidP="002A2FFF">
      <w:pPr>
        <w:pStyle w:val="a5"/>
        <w:spacing w:line="240" w:lineRule="auto"/>
        <w:jc w:val="both"/>
      </w:pPr>
    </w:p>
    <w:p w:rsidR="002A2FFF" w:rsidRPr="00FE518F" w:rsidRDefault="00483FD8" w:rsidP="002A2FFF">
      <w:pPr>
        <w:rPr>
          <w:b/>
        </w:rPr>
      </w:pPr>
      <w:r>
        <w:rPr>
          <w:b/>
        </w:rPr>
        <w:t xml:space="preserve"> </w:t>
      </w:r>
    </w:p>
    <w:p w:rsidR="002A2FFF" w:rsidRPr="00FE518F" w:rsidRDefault="002A2FFF" w:rsidP="002A2FFF">
      <w:pPr>
        <w:rPr>
          <w:b/>
        </w:rPr>
      </w:pPr>
    </w:p>
    <w:p w:rsidR="009E17C7" w:rsidRDefault="009E17C7"/>
    <w:sectPr w:rsidR="009E17C7" w:rsidSect="002A2F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28" w:rsidRDefault="00E97C28" w:rsidP="002A2FFF">
      <w:pPr>
        <w:spacing w:after="0" w:line="240" w:lineRule="auto"/>
      </w:pPr>
      <w:r>
        <w:separator/>
      </w:r>
    </w:p>
  </w:endnote>
  <w:endnote w:type="continuationSeparator" w:id="0">
    <w:p w:rsidR="00E97C28" w:rsidRDefault="00E97C28" w:rsidP="002A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28" w:rsidRDefault="00E97C28" w:rsidP="002A2FFF">
      <w:pPr>
        <w:spacing w:after="0" w:line="240" w:lineRule="auto"/>
      </w:pPr>
      <w:r>
        <w:separator/>
      </w:r>
    </w:p>
  </w:footnote>
  <w:footnote w:type="continuationSeparator" w:id="0">
    <w:p w:rsidR="00E97C28" w:rsidRDefault="00E97C28" w:rsidP="002A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9079"/>
      <w:docPartObj>
        <w:docPartGallery w:val="Page Numbers (Top of Page)"/>
        <w:docPartUnique/>
      </w:docPartObj>
    </w:sdtPr>
    <w:sdtContent>
      <w:p w:rsidR="00483FD8" w:rsidRDefault="00483FD8">
        <w:pPr>
          <w:pStyle w:val="a8"/>
          <w:jc w:val="center"/>
        </w:pPr>
        <w:fldSimple w:instr=" PAGE   \* MERGEFORMAT ">
          <w:r w:rsidR="00880BEA">
            <w:rPr>
              <w:noProof/>
            </w:rPr>
            <w:t>2</w:t>
          </w:r>
        </w:fldSimple>
      </w:p>
    </w:sdtContent>
  </w:sdt>
  <w:p w:rsidR="00483FD8" w:rsidRDefault="00483FD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FFF"/>
    <w:rsid w:val="002A2FFF"/>
    <w:rsid w:val="002D540C"/>
    <w:rsid w:val="003A1168"/>
    <w:rsid w:val="00483FD8"/>
    <w:rsid w:val="00880BEA"/>
    <w:rsid w:val="009C5E95"/>
    <w:rsid w:val="009E17C7"/>
    <w:rsid w:val="00E9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FF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FF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aliases w:val="Обычный (веб) Знак"/>
    <w:uiPriority w:val="1"/>
    <w:unhideWhenUsed/>
    <w:qFormat/>
    <w:rsid w:val="002A2FFF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customStyle="1" w:styleId="Standard">
    <w:name w:val="Standard"/>
    <w:qFormat/>
    <w:rsid w:val="002A2FFF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31">
    <w:name w:val="Основной текст с отступом 31"/>
    <w:basedOn w:val="Standard"/>
    <w:uiPriority w:val="99"/>
    <w:rsid w:val="002A2FF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a5">
    <w:name w:val="Базовый"/>
    <w:uiPriority w:val="99"/>
    <w:rsid w:val="002A2FFF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Standard"/>
    <w:uiPriority w:val="99"/>
    <w:semiHidden/>
    <w:rsid w:val="002A2FFF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2FFF"/>
    <w:rPr>
      <w:rFonts w:ascii="Tahoma" w:eastAsia="SimSun" w:hAnsi="Tahoma" w:cs="Tahoma"/>
      <w:kern w:val="3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2FFF"/>
    <w:rPr>
      <w:rFonts w:ascii="Calibri" w:eastAsia="SimSun" w:hAnsi="Calibri" w:cs="Calibri"/>
      <w:kern w:val="3"/>
    </w:rPr>
  </w:style>
  <w:style w:type="paragraph" w:styleId="aa">
    <w:name w:val="footer"/>
    <w:basedOn w:val="a"/>
    <w:link w:val="ab"/>
    <w:uiPriority w:val="99"/>
    <w:semiHidden/>
    <w:unhideWhenUsed/>
    <w:rsid w:val="002A2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2FFF"/>
    <w:rPr>
      <w:rFonts w:ascii="Calibri" w:eastAsia="SimSun" w:hAnsi="Calibri" w:cs="Calibri"/>
      <w:kern w:val="3"/>
    </w:rPr>
  </w:style>
  <w:style w:type="character" w:customStyle="1" w:styleId="FontStyle11">
    <w:name w:val="Font Style11"/>
    <w:uiPriority w:val="99"/>
    <w:rsid w:val="00483FD8"/>
    <w:rPr>
      <w:rFonts w:ascii="Times New Roman" w:hAnsi="Times New Roman" w:cs="Times New Roman" w:hint="default"/>
      <w:b/>
      <w:bCs/>
      <w:sz w:val="34"/>
      <w:szCs w:val="34"/>
    </w:rPr>
  </w:style>
  <w:style w:type="paragraph" w:styleId="ac">
    <w:name w:val="No Spacing"/>
    <w:uiPriority w:val="1"/>
    <w:qFormat/>
    <w:rsid w:val="00483F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2023-02-20T06:50:00Z</cp:lastPrinted>
  <dcterms:created xsi:type="dcterms:W3CDTF">2023-02-20T06:09:00Z</dcterms:created>
  <dcterms:modified xsi:type="dcterms:W3CDTF">2023-02-20T06:50:00Z</dcterms:modified>
</cp:coreProperties>
</file>